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8DA2C" w14:textId="77777777" w:rsidR="00496AF8" w:rsidRPr="001A6D05" w:rsidRDefault="007C1887" w:rsidP="001A196B">
      <w:pPr>
        <w:jc w:val="center"/>
        <w:rPr>
          <w:b/>
          <w:noProof/>
          <w:sz w:val="24"/>
          <w:szCs w:val="24"/>
        </w:rPr>
      </w:pPr>
      <w:bookmarkStart w:id="0" w:name="_GoBack"/>
      <w:bookmarkEnd w:id="0"/>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7777777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howingPlcHdr/>
        </w:sdtPr>
        <w:sdtEndPr>
          <w:rPr>
            <w:rStyle w:val="DefaultParagraphFont"/>
            <w:rFonts w:cstheme="minorHAnsi"/>
            <w:b/>
            <w:noProof/>
            <w:color w:val="auto"/>
          </w:rPr>
        </w:sdtEndPr>
        <w:sdtContent>
          <w:r w:rsidRPr="003B1CC5">
            <w:rPr>
              <w:rStyle w:val="PlaceholderText"/>
            </w:rPr>
            <w:t>Click here to enter NQF number</w:t>
          </w:r>
        </w:sdtContent>
      </w:sdt>
    </w:p>
    <w:p w14:paraId="55B8DA2F" w14:textId="60FDBDBF"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B408BA" w:rsidRPr="00A406D7">
            <w:rPr>
              <w:rFonts w:eastAsiaTheme="minorEastAsia" w:cs="Times New Roman"/>
            </w:rPr>
            <w:t>Follow-Up Care for Adult Medicaid Beneficiaries Who are Newly Prescribed an Antipsychotic Medication</w:t>
          </w:r>
          <w:r w:rsidR="00B408BA">
            <w:rPr>
              <w:rFonts w:eastAsiaTheme="minorEastAsia" w:cs="Times New Roman"/>
            </w:rPr>
            <w:t xml:space="preserve"> </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4F67B14B"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7-11-01T00:00:00Z">
            <w:dateFormat w:val="M/d/yyyy"/>
            <w:lid w:val="en-US"/>
            <w:storeMappedDataAs w:val="dateTime"/>
            <w:calendar w:val="gregorian"/>
          </w:date>
        </w:sdtPr>
        <w:sdtEndPr>
          <w:rPr>
            <w:rStyle w:val="DefaultParagraphFont"/>
            <w:noProof/>
            <w:color w:val="auto"/>
            <w:u w:val="none"/>
          </w:rPr>
        </w:sdtEndPr>
        <w:sdtContent>
          <w:r w:rsidR="00B408BA">
            <w:rPr>
              <w:rStyle w:val="Style2"/>
            </w:rPr>
            <w:t>11/1/2017</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1"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1" w:name="Note2"/>
            <w:bookmarkEnd w:id="1"/>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2"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EF6834"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EF6834"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EF6834"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6B8B740" w:rsidR="00D73685" w:rsidRDefault="00EF6834"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B408BA">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dtPr>
        <w:sdtEndPr>
          <w:rPr>
            <w:rStyle w:val="DefaultParagraphFont"/>
            <w:rFonts w:cstheme="minorBidi"/>
            <w:bCs/>
            <w:color w:val="auto"/>
            <w:u w:val="none"/>
          </w:rPr>
        </w:sdtEndPr>
        <w:sdtContent>
          <w:r w:rsidR="00B408BA">
            <w:rPr>
              <w:rStyle w:val="Style2"/>
              <w:rFonts w:cstheme="minorHAnsi"/>
            </w:rPr>
            <w:t>Follow-up care provided after a new antipsychotic prescription</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EF6834"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EF6834"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27D6CBE2" w14:textId="77777777" w:rsidR="00B408BA" w:rsidRDefault="00B408BA" w:rsidP="002B06BD">
      <w:pPr>
        <w:ind w:left="432" w:hanging="432"/>
        <w:rPr>
          <w:iCs/>
        </w:rPr>
      </w:pPr>
    </w:p>
    <w:p w14:paraId="4F5A318A" w14:textId="77777777" w:rsidR="00B408BA" w:rsidRPr="00B408BA" w:rsidRDefault="00B408BA" w:rsidP="00C67671">
      <w:pPr>
        <w:keepNext/>
        <w:spacing w:before="240" w:after="240"/>
        <w:ind w:left="0" w:firstLine="0"/>
        <w:contextualSpacing/>
        <w:outlineLvl w:val="3"/>
        <w:rPr>
          <w:rFonts w:ascii="Calibri" w:eastAsia="Calibri" w:hAnsi="Calibri" w:cs="Times New Roman"/>
          <w:bCs/>
        </w:rPr>
      </w:pPr>
      <w:r w:rsidRPr="00B408BA">
        <w:rPr>
          <w:rFonts w:ascii="Calibri" w:eastAsia="Calibri" w:hAnsi="Calibri" w:cs="Times New Roman"/>
          <w:bCs/>
        </w:rPr>
        <w:t>Among individuals with serious mental illness, physical health problems such as cardiovascular disease, metabolic disorders, and infectious disease are more prevalent compared to the general population. Antipsychotic medications can exacerbate existing physical problems as well as increase a patient’s risk for developing new health concerns such as metabolic complications. Timely follow-up with a provider following the prescription of antipsychotic medications is an essential first step to ensure that physical impacts of antipsychotic medications are identified and addressed early. Early follow up is also critical to monitor for treatment effectiveness and modify dosage as necessary, as well as to identify and address any barriers to treatment adherence. By proactively following up with patients who are prescribed antipsychotic medications, providers can identify problems early in the course of treatment and minimize potential harms associated with use of those medications. Regardless of the care setting in which a patient is being treated, comprehensive assessment of both physical and mental health factors is an essential aspect of treatment with antipsychotic medications.</w:t>
      </w:r>
    </w:p>
    <w:p w14:paraId="7658548C" w14:textId="77777777" w:rsidR="00B408BA" w:rsidRPr="00676BD4" w:rsidRDefault="00B408BA" w:rsidP="002B06BD">
      <w:pPr>
        <w:ind w:left="432" w:hanging="432"/>
        <w:rPr>
          <w:iCs/>
        </w:rPr>
      </w:pPr>
    </w:p>
    <w:p w14:paraId="55B8DA5B" w14:textId="77777777" w:rsidR="002B06BD" w:rsidRDefault="002B06BD" w:rsidP="002E2177">
      <w:pPr>
        <w:ind w:left="432" w:hanging="432"/>
        <w:rPr>
          <w:color w:val="0000FF"/>
        </w:rPr>
      </w:pPr>
    </w:p>
    <w:p w14:paraId="0F39E63D" w14:textId="1392075A" w:rsidR="00B408BA" w:rsidRPr="003B1CC5" w:rsidRDefault="00B408BA" w:rsidP="002E2177">
      <w:pPr>
        <w:ind w:left="432" w:hanging="432"/>
        <w:rPr>
          <w:color w:val="0000FF"/>
        </w:rPr>
      </w:pPr>
      <w:r>
        <w:rPr>
          <w:b/>
          <w:bCs/>
          <w:noProof/>
          <w:color w:val="1F497D" w:themeColor="text2"/>
          <w:sz w:val="24"/>
          <w:szCs w:val="28"/>
        </w:rPr>
        <w:lastRenderedPageBreak/>
        <w:drawing>
          <wp:inline distT="0" distB="0" distL="0" distR="0" wp14:anchorId="6430B254" wp14:editId="14C88C15">
            <wp:extent cx="5943600" cy="3324860"/>
            <wp:effectExtent l="19050" t="0" r="3810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5D" w14:textId="70B4D7F5" w:rsidR="00676BD4" w:rsidRPr="00B408BA" w:rsidRDefault="00837AEA" w:rsidP="002E2177">
      <w:pPr>
        <w:ind w:left="432" w:hanging="432"/>
      </w:pPr>
      <w:r>
        <w:t>N/A; n</w:t>
      </w:r>
      <w:r w:rsidR="00B408BA" w:rsidRPr="00B408BA">
        <w:t>ot derived from patient report</w:t>
      </w:r>
    </w:p>
    <w:p w14:paraId="55B8DA5E" w14:textId="77777777" w:rsidR="00F90F82" w:rsidRDefault="00F90F82" w:rsidP="002E2177">
      <w:pPr>
        <w:ind w:left="432" w:hanging="432"/>
        <w:rPr>
          <w:b/>
          <w:color w:val="0000FF"/>
        </w:rPr>
      </w:pPr>
    </w:p>
    <w:p w14:paraId="55B8DA5F" w14:textId="77777777"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01A09D89" w:rsidR="00D14F0B" w:rsidRPr="003B1CC5" w:rsidRDefault="007D7E6A" w:rsidP="002E2177">
      <w:pPr>
        <w:ind w:left="0" w:firstLine="0"/>
        <w:rPr>
          <w:iCs/>
        </w:rPr>
      </w:pPr>
      <w:r>
        <w:rPr>
          <w:iCs/>
        </w:rPr>
        <w:t xml:space="preserve">N/A; not an outcome measure. </w:t>
      </w:r>
    </w:p>
    <w:p w14:paraId="55B8DA65" w14:textId="77777777" w:rsidR="00676BD4" w:rsidRDefault="00676BD4" w:rsidP="002E2177">
      <w:pPr>
        <w:ind w:left="0" w:firstLine="0"/>
        <w:rPr>
          <w:i/>
          <w:iCs/>
          <w:highlight w:val="green"/>
          <w:u w:val="single"/>
        </w:rPr>
      </w:pPr>
    </w:p>
    <w:p w14:paraId="55B8DA66" w14:textId="3514101E"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D5C62">
        <w:rPr>
          <w:b/>
          <w:iCs/>
          <w:color w:val="0000FF"/>
        </w:rPr>
        <w:t>(S</w:t>
      </w:r>
      <w:r w:rsidR="00AB4ECE">
        <w:rPr>
          <w:b/>
          <w:iCs/>
          <w:color w:val="0000FF"/>
        </w:rPr>
        <w:t>)</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3939C2">
        <w:rPr>
          <w:rFonts w:ascii="Times New Roman" w:eastAsia="Arial Unicode MS" w:hAnsi="Times New Roman" w:cs="Mangal" w:hint="eastAsia"/>
          <w:color w:val="0000FF"/>
          <w:kern w:val="1"/>
          <w:sz w:val="24"/>
          <w:szCs w:val="24"/>
          <w:highlight w:val="yellow"/>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lastRenderedPageBreak/>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9E7EB3">
        <w:rPr>
          <w:rFonts w:ascii="Times New Roman" w:eastAsia="Arial Unicode MS" w:hAnsi="Times New Roman" w:cs="Mangal" w:hint="eastAsia"/>
          <w:color w:val="0000FF"/>
          <w:kern w:val="1"/>
          <w:sz w:val="24"/>
          <w:szCs w:val="24"/>
          <w:highlight w:val="yellow"/>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2FE180D1" w14:textId="4C3D002B" w:rsidR="007B17EA" w:rsidRPr="007B17EA" w:rsidRDefault="007B17EA" w:rsidP="002E2177">
      <w:pPr>
        <w:ind w:left="0" w:firstLine="0"/>
        <w:rPr>
          <w:iCs/>
        </w:rPr>
      </w:pPr>
      <w:r>
        <w:rPr>
          <w:iCs/>
        </w:rPr>
        <w:t xml:space="preserve">Taken together, the </w:t>
      </w:r>
      <w:r w:rsidRPr="007B17EA">
        <w:rPr>
          <w:iCs/>
        </w:rPr>
        <w:t>four guidelines</w:t>
      </w:r>
      <w:r>
        <w:rPr>
          <w:iCs/>
        </w:rPr>
        <w:t xml:space="preserve"> cited below</w:t>
      </w:r>
      <w:r w:rsidRPr="007B17EA">
        <w:rPr>
          <w:iCs/>
        </w:rPr>
        <w:t xml:space="preserve"> provide recommendations that emphasize the importance of ongoing, comprehensive assessment of both physical and mental health factors for patients taking psychotropic medications, with Guidelines 1 and 2 focusing specifically on antipsychotic medications. Each guideline provides an overview of key factors that need to be assessed as part of the course of treatment. A comprehensive assessment of physical and mental health factors is an essential part of treatment for patients who are prescribed psychotropic medications, regardless of the care setting in which their treatment is provided. Cited below are the specific guideline recommendations around comprehensive assessment for patients taking antipsychotic medications and/or psychotropic medications.</w:t>
      </w:r>
    </w:p>
    <w:p w14:paraId="55B8DA6E" w14:textId="77777777" w:rsidR="004E7215" w:rsidRDefault="004E7215" w:rsidP="002E2177">
      <w:pPr>
        <w:ind w:left="0" w:firstLine="0"/>
        <w:rPr>
          <w:i/>
          <w:iCs/>
        </w:rPr>
      </w:pPr>
    </w:p>
    <w:p w14:paraId="7A2AC800" w14:textId="1340C227" w:rsidR="007B17EA" w:rsidRPr="007B17EA" w:rsidRDefault="007B17EA" w:rsidP="002E2177">
      <w:pPr>
        <w:ind w:left="0" w:firstLine="0"/>
        <w:rPr>
          <w:b/>
          <w:iCs/>
        </w:rPr>
      </w:pPr>
      <w:r>
        <w:rPr>
          <w:b/>
          <w:iCs/>
        </w:rPr>
        <w:t>Guideline</w:t>
      </w:r>
      <w:r w:rsidRPr="007B17EA">
        <w:rPr>
          <w:b/>
          <w:iCs/>
        </w:rPr>
        <w:t xml:space="preserve"> 1. </w:t>
      </w: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011B5C84" w14:textId="255B6078" w:rsidR="003939C2" w:rsidRPr="003939C2" w:rsidRDefault="003939C2" w:rsidP="003939C2">
            <w:pPr>
              <w:ind w:left="0" w:firstLine="0"/>
            </w:pPr>
            <w:r w:rsidRPr="003939C2">
              <w:t xml:space="preserve">American Diabetes Association (ADA), American Psychiatric Association (APA), American Association of Clinical Endocrinologists (AACE), North American Association for the Study of Obesity (NAASO). </w:t>
            </w:r>
            <w:r>
              <w:t>“</w:t>
            </w:r>
            <w:r w:rsidRPr="003939C2">
              <w:t>Consensus development conference on antipsychotic drugs and obesity and diabetes.</w:t>
            </w:r>
            <w:r>
              <w:t>”</w:t>
            </w:r>
            <w:r w:rsidRPr="003939C2">
              <w:t xml:space="preserve"> </w:t>
            </w:r>
            <w:r w:rsidRPr="003939C2">
              <w:rPr>
                <w:i/>
              </w:rPr>
              <w:t>Diabetes Care.</w:t>
            </w:r>
            <w:r w:rsidRPr="003939C2">
              <w:t xml:space="preserve"> 2004;27(2): 596-601.</w:t>
            </w:r>
            <w:r>
              <w:t xml:space="preserve"> Available at </w:t>
            </w:r>
            <w:r w:rsidRPr="003939C2">
              <w:t>http://care.diabetesjournals.org/content/27/2/596</w:t>
            </w:r>
          </w:p>
          <w:p w14:paraId="55B8DA75" w14:textId="77777777" w:rsidR="00AB4ECE" w:rsidRPr="003939C2" w:rsidRDefault="00AB4ECE" w:rsidP="002E2177">
            <w:pPr>
              <w:ind w:left="0" w:firstLine="0"/>
            </w:pPr>
          </w:p>
        </w:tc>
      </w:tr>
      <w:tr w:rsidR="00AB4ECE" w14:paraId="55B8DA79" w14:textId="77777777" w:rsidTr="00F90F82">
        <w:tc>
          <w:tcPr>
            <w:tcW w:w="4068" w:type="dxa"/>
          </w:tcPr>
          <w:p w14:paraId="55B8DA77" w14:textId="5462BA28"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630125EB" w14:textId="77777777" w:rsidR="003939C2" w:rsidRPr="003939C2" w:rsidRDefault="003939C2" w:rsidP="003939C2">
            <w:pPr>
              <w:ind w:left="0" w:firstLine="0"/>
              <w:rPr>
                <w:b/>
              </w:rPr>
            </w:pPr>
            <w:r w:rsidRPr="003939C2">
              <w:rPr>
                <w:b/>
              </w:rPr>
              <w:t>Follow-up monitoring:</w:t>
            </w:r>
          </w:p>
          <w:p w14:paraId="3E18A5E0" w14:textId="77777777" w:rsidR="003939C2" w:rsidRPr="003939C2" w:rsidRDefault="003939C2" w:rsidP="003939C2">
            <w:pPr>
              <w:ind w:left="0" w:firstLine="0"/>
            </w:pPr>
            <w:r w:rsidRPr="003939C2">
              <w:t>“The patient’s weight should be reassessed at 4, 8, and 12 weeks after initiating or changing second generation antipsychotic (SGA) therapy and quarterly thereafter at the time of routine visits.”</w:t>
            </w:r>
          </w:p>
          <w:p w14:paraId="52A065BB" w14:textId="77777777" w:rsidR="003939C2" w:rsidRPr="003939C2" w:rsidRDefault="003939C2" w:rsidP="003939C2">
            <w:pPr>
              <w:ind w:left="0" w:firstLine="0"/>
            </w:pPr>
            <w:r w:rsidRPr="003939C2">
              <w:t>“Fasting plasma glucose, lipid levels, and blood pressure should also be assessed 3 months after initiation of antipsychotic medications. Thereafter, blood pressure and plasma glucose values should be obtained annually or more frequently in those who have a higher baseline risk for the development of diabetes or hypertension. In those with a normal lipid profile, repeat testing should be performed at 5-year intervals or more frequently if clinically indicated”</w:t>
            </w:r>
          </w:p>
          <w:p w14:paraId="6E6B8B3A" w14:textId="77777777" w:rsidR="003939C2" w:rsidRPr="003939C2" w:rsidRDefault="003939C2" w:rsidP="003939C2">
            <w:pPr>
              <w:ind w:left="0" w:firstLine="0"/>
            </w:pPr>
            <w:r w:rsidRPr="003939C2">
              <w:t xml:space="preserve">“Blood pressure, lipid, and glycemic goals of therapy for people with diabetes apply equally to those who also have psychiatric disorders. However, all goals need to be individualized. The benefits and risks of different therapeutic agents used in the treatment of diabetes and its comorbidities should be considered in </w:t>
            </w:r>
            <w:r w:rsidRPr="003939C2">
              <w:lastRenderedPageBreak/>
              <w:t>the context of the patient’s psychiatric condition and treatment.</w:t>
            </w:r>
          </w:p>
          <w:p w14:paraId="2EC9172C" w14:textId="77777777" w:rsidR="003939C2" w:rsidRPr="003939C2" w:rsidRDefault="003939C2" w:rsidP="003939C2">
            <w:pPr>
              <w:ind w:left="0" w:firstLine="0"/>
            </w:pPr>
            <w:r w:rsidRPr="003939C2">
              <w:t>In summary, the panel recommends the following:</w:t>
            </w:r>
          </w:p>
          <w:p w14:paraId="738ACA6C" w14:textId="77777777" w:rsidR="003939C2" w:rsidRPr="003939C2" w:rsidRDefault="003939C2" w:rsidP="003939C2">
            <w:pPr>
              <w:numPr>
                <w:ilvl w:val="0"/>
                <w:numId w:val="12"/>
              </w:numPr>
            </w:pPr>
            <w:r w:rsidRPr="003939C2">
              <w:t>Consideration of metabolic risks when starting SGAs</w:t>
            </w:r>
          </w:p>
          <w:p w14:paraId="2E849077" w14:textId="77777777" w:rsidR="003939C2" w:rsidRPr="003939C2" w:rsidRDefault="003939C2" w:rsidP="003939C2">
            <w:pPr>
              <w:numPr>
                <w:ilvl w:val="0"/>
                <w:numId w:val="12"/>
              </w:numPr>
            </w:pPr>
            <w:r w:rsidRPr="003939C2">
              <w:t>Patient, family, and care giver education</w:t>
            </w:r>
          </w:p>
          <w:p w14:paraId="2EA6E931" w14:textId="77777777" w:rsidR="003939C2" w:rsidRPr="003939C2" w:rsidRDefault="003939C2" w:rsidP="003939C2">
            <w:pPr>
              <w:numPr>
                <w:ilvl w:val="0"/>
                <w:numId w:val="12"/>
              </w:numPr>
            </w:pPr>
            <w:r w:rsidRPr="003939C2">
              <w:t>Baseline screening</w:t>
            </w:r>
          </w:p>
          <w:p w14:paraId="544CCCF9" w14:textId="77777777" w:rsidR="003939C2" w:rsidRPr="003939C2" w:rsidRDefault="003939C2" w:rsidP="003939C2">
            <w:pPr>
              <w:numPr>
                <w:ilvl w:val="0"/>
                <w:numId w:val="12"/>
              </w:numPr>
            </w:pPr>
            <w:r w:rsidRPr="003939C2">
              <w:t>Regular monitoring</w:t>
            </w:r>
          </w:p>
          <w:p w14:paraId="216053EF" w14:textId="77777777" w:rsidR="003939C2" w:rsidRPr="003939C2" w:rsidRDefault="003939C2" w:rsidP="003939C2">
            <w:pPr>
              <w:numPr>
                <w:ilvl w:val="0"/>
                <w:numId w:val="12"/>
              </w:numPr>
            </w:pPr>
            <w:r w:rsidRPr="003939C2">
              <w:t>Referral to specialized services, when appropriate”</w:t>
            </w:r>
          </w:p>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lastRenderedPageBreak/>
              <w:t xml:space="preserve">Grade assigned to the </w:t>
            </w:r>
            <w:r w:rsidRPr="004E7215">
              <w:rPr>
                <w:b/>
              </w:rPr>
              <w:t>evidence</w:t>
            </w:r>
            <w:r>
              <w:t xml:space="preserve"> associated with the recommendation with the definition of the grade</w:t>
            </w:r>
          </w:p>
        </w:tc>
        <w:tc>
          <w:tcPr>
            <w:tcW w:w="5130" w:type="dxa"/>
          </w:tcPr>
          <w:p w14:paraId="4FD48171" w14:textId="20F12046" w:rsidR="007B17EA" w:rsidRPr="007B17EA" w:rsidRDefault="007B17EA" w:rsidP="007B17EA">
            <w:pPr>
              <w:ind w:left="0" w:firstLine="0"/>
            </w:pPr>
            <w:r>
              <w:t>The guideline did not assign</w:t>
            </w:r>
            <w:r w:rsidRPr="007B17EA">
              <w:t xml:space="preserve"> a grade to the quality of the quoted evidence.</w:t>
            </w:r>
          </w:p>
          <w:p w14:paraId="55B8DA7B" w14:textId="2E87FC85"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5D6FE8CE" w:rsidR="00AB4ECE" w:rsidRDefault="007B17EA" w:rsidP="002E2177">
            <w:pPr>
              <w:ind w:left="0" w:firstLine="0"/>
            </w:pPr>
            <w:r>
              <w:t xml:space="preserve">None. </w:t>
            </w: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674FCF79" w14:textId="2CAE3D2F" w:rsidR="007B17EA" w:rsidRPr="007B17EA" w:rsidRDefault="007B17EA" w:rsidP="007B17EA">
            <w:pPr>
              <w:ind w:left="0" w:firstLine="0"/>
            </w:pPr>
            <w:r w:rsidRPr="007B17EA">
              <w:t>The guideline did not provide a grade for the cited recommendations.</w:t>
            </w:r>
          </w:p>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29431CB3" w:rsidR="00AB4ECE" w:rsidRDefault="007B17EA" w:rsidP="002E2177">
            <w:pPr>
              <w:ind w:left="0" w:firstLine="0"/>
            </w:pPr>
            <w:r>
              <w:t xml:space="preserve">None. </w:t>
            </w:r>
          </w:p>
        </w:tc>
      </w:tr>
      <w:tr w:rsidR="00AB4ECE" w14:paraId="55B8DA8A" w14:textId="77777777" w:rsidTr="007B17EA">
        <w:trPr>
          <w:trHeight w:val="2483"/>
        </w:trPr>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8B068BD" w14:textId="77777777" w:rsidR="001E7459" w:rsidRPr="001E7459" w:rsidRDefault="001E7459" w:rsidP="001E7459">
            <w:pPr>
              <w:ind w:left="0" w:firstLine="0"/>
            </w:pPr>
            <w:r w:rsidRPr="001E7459">
              <w:t xml:space="preserve">This guideline was developed as a result of a consensus development conference of key experts and stakeholders. The key goal of the conference was to establish consensus on the following questions: </w:t>
            </w:r>
          </w:p>
          <w:p w14:paraId="02AEF15B" w14:textId="77777777" w:rsidR="001E7459" w:rsidRPr="001E7459" w:rsidRDefault="001E7459" w:rsidP="001E7459">
            <w:pPr>
              <w:numPr>
                <w:ilvl w:val="0"/>
                <w:numId w:val="16"/>
              </w:numPr>
            </w:pPr>
            <w:r w:rsidRPr="001E7459">
              <w:t>What is the current use of antipsychotic drugs?</w:t>
            </w:r>
          </w:p>
          <w:p w14:paraId="0C6DE99B" w14:textId="77777777" w:rsidR="001E7459" w:rsidRPr="001E7459" w:rsidRDefault="001E7459" w:rsidP="001E7459">
            <w:pPr>
              <w:numPr>
                <w:ilvl w:val="0"/>
                <w:numId w:val="16"/>
              </w:numPr>
            </w:pPr>
            <w:r w:rsidRPr="001E7459">
              <w:t>What is the prevalence of obesity, pre-diabetes, and type 2 diabetes in the populations in which second-generation antipsychotics (SGAs) are used?</w:t>
            </w:r>
          </w:p>
          <w:p w14:paraId="6FA7A5F7" w14:textId="77777777" w:rsidR="001E7459" w:rsidRPr="001E7459" w:rsidRDefault="001E7459" w:rsidP="001E7459">
            <w:pPr>
              <w:numPr>
                <w:ilvl w:val="0"/>
                <w:numId w:val="16"/>
              </w:numPr>
            </w:pPr>
            <w:r w:rsidRPr="001E7459">
              <w:t>What is the relationship between the use of SGAs and the incidence of obesity or diabetes?</w:t>
            </w:r>
          </w:p>
          <w:p w14:paraId="0D96F095" w14:textId="77777777" w:rsidR="001E7459" w:rsidRPr="001E7459" w:rsidRDefault="001E7459" w:rsidP="001E7459">
            <w:pPr>
              <w:numPr>
                <w:ilvl w:val="0"/>
                <w:numId w:val="16"/>
              </w:numPr>
            </w:pPr>
            <w:r w:rsidRPr="001E7459">
              <w:t>Given the above risks, how should patients be monitored for the development of significant weight gain, dyslipidemia, and diabetes, and how should they be treated if diabetes develops?</w:t>
            </w:r>
          </w:p>
          <w:p w14:paraId="1F8A60B0" w14:textId="1C199101" w:rsidR="001E7459" w:rsidRDefault="001E7459" w:rsidP="001E7459">
            <w:pPr>
              <w:numPr>
                <w:ilvl w:val="0"/>
                <w:numId w:val="16"/>
              </w:numPr>
            </w:pPr>
            <w:r w:rsidRPr="001E7459">
              <w:t>What research is needed to better understand the relationship between these drugs and significant weight gain, dyslipidemia, and diabetes?</w:t>
            </w:r>
          </w:p>
          <w:p w14:paraId="1AAC04CD" w14:textId="77777777" w:rsidR="001E7459" w:rsidRDefault="001E7459" w:rsidP="005C53C5">
            <w:pPr>
              <w:ind w:left="0" w:firstLine="0"/>
            </w:pPr>
          </w:p>
          <w:p w14:paraId="780D6FE4" w14:textId="6E1E5AFE" w:rsidR="005C53C5" w:rsidRPr="005C53C5" w:rsidRDefault="005C53C5" w:rsidP="005C53C5">
            <w:pPr>
              <w:ind w:left="0" w:firstLine="0"/>
            </w:pPr>
            <w:r w:rsidRPr="005C53C5">
              <w:t xml:space="preserve">While this is a consensus-based guideline, the authors cited 4 clinical practice guidelines, 5 systematic evidence reviews, 11 retrospective analyses, 3 </w:t>
            </w:r>
            <w:r w:rsidRPr="005C53C5">
              <w:lastRenderedPageBreak/>
              <w:t>randomized trials, and 1 cross-sectional analysis in support of the document.</w:t>
            </w:r>
            <w:r w:rsidR="00641426">
              <w:t xml:space="preserve"> </w:t>
            </w:r>
            <w:r w:rsidR="00641426" w:rsidRPr="00641426">
              <w:t>Evidence cited in support of the consensus document ranges from 1997-2003.</w:t>
            </w:r>
          </w:p>
          <w:p w14:paraId="55B8DA89" w14:textId="77777777" w:rsidR="00AB4ECE" w:rsidRDefault="00AB4ECE" w:rsidP="005C53C5">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lastRenderedPageBreak/>
              <w:t xml:space="preserve">Estimates of benefit and consistency across studies </w:t>
            </w:r>
          </w:p>
        </w:tc>
        <w:tc>
          <w:tcPr>
            <w:tcW w:w="5130" w:type="dxa"/>
          </w:tcPr>
          <w:p w14:paraId="18D5B8D4" w14:textId="77777777" w:rsidR="001133AF" w:rsidRPr="001133AF" w:rsidRDefault="007B17EA" w:rsidP="001133AF">
            <w:pPr>
              <w:ind w:left="0" w:firstLine="0"/>
            </w:pPr>
            <w:r w:rsidRPr="007B17EA">
              <w:t xml:space="preserve">The guideline was developed using a consensus-based approach involving a group of stakeholders and experts in the field. While the consensus-based approach was supplemented with a review of the evidence as part of the development of each guideline, </w:t>
            </w:r>
            <w:r w:rsidR="001133AF" w:rsidRPr="001133AF">
              <w:t>details of the consistency of the reviewed evidence were not provided.</w:t>
            </w:r>
          </w:p>
          <w:p w14:paraId="5A205C07" w14:textId="77777777" w:rsidR="001133AF" w:rsidRPr="001133AF" w:rsidRDefault="001133AF" w:rsidP="001133AF">
            <w:pPr>
              <w:ind w:left="0" w:firstLine="0"/>
            </w:pPr>
          </w:p>
          <w:p w14:paraId="55B8DA8C" w14:textId="6CA2A45E" w:rsidR="00AB4ECE" w:rsidRDefault="001E7459" w:rsidP="001133AF">
            <w:pPr>
              <w:ind w:left="0" w:firstLine="0"/>
            </w:pPr>
            <w:r>
              <w:t>This guideline does not</w:t>
            </w:r>
            <w:r w:rsidR="001133AF" w:rsidRPr="001133AF">
              <w:t xml:space="preserve"> provide a quantitative estimate of benefit for follow-up care for patients prescribed antipsychotic medications. However, there is consensus among the guidelines that close follow-up monitoring is an essential standard of care for patients prescribed antipsychotic medications to ensure effectiveness of treatment and to mitigate any adverse consequences or reactions to the drugs.</w:t>
            </w: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24082F6F" w14:textId="54FD202D" w:rsidR="001E7459" w:rsidRPr="001E7459" w:rsidRDefault="001E7459" w:rsidP="001E7459">
            <w:pPr>
              <w:ind w:left="0" w:firstLine="0"/>
            </w:pPr>
            <w:r w:rsidRPr="001E7459">
              <w:t xml:space="preserve">While the guideline does not give a formal description or estimate of harms, we anticipate the expected benefits of follow-up care to far outweigh any potential harms because ongoing monitoring and follow-up is a basic standard of care for patients taking antipsychotic medications. </w:t>
            </w:r>
          </w:p>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49B3747C" w:rsidR="000E5C93" w:rsidRDefault="001E7459" w:rsidP="001E7459">
            <w:pPr>
              <w:ind w:left="0" w:firstLine="0"/>
            </w:pPr>
            <w:r>
              <w:t xml:space="preserve">We did not identify any new studies since the clinical guideline was published that change the conclusion in the recommendation.  </w:t>
            </w:r>
          </w:p>
        </w:tc>
      </w:tr>
    </w:tbl>
    <w:p w14:paraId="55B8DA94" w14:textId="77777777" w:rsidR="007C1887" w:rsidRDefault="007C1887" w:rsidP="002E2177">
      <w:pPr>
        <w:ind w:left="0" w:firstLine="0"/>
      </w:pPr>
    </w:p>
    <w:p w14:paraId="6AF450F9" w14:textId="44988EC1" w:rsidR="007B17EA" w:rsidRPr="007B17EA" w:rsidRDefault="007B17EA" w:rsidP="002E2177">
      <w:pPr>
        <w:ind w:left="0" w:firstLine="0"/>
        <w:rPr>
          <w:b/>
        </w:rPr>
      </w:pPr>
      <w:r>
        <w:rPr>
          <w:b/>
        </w:rPr>
        <w:t xml:space="preserve">Guideline </w:t>
      </w:r>
      <w:r w:rsidRPr="007B17EA">
        <w:rPr>
          <w:b/>
        </w:rPr>
        <w:t xml:space="preserve">2. </w:t>
      </w:r>
    </w:p>
    <w:tbl>
      <w:tblPr>
        <w:tblStyle w:val="TableGrid"/>
        <w:tblW w:w="0" w:type="auto"/>
        <w:tblLayout w:type="fixed"/>
        <w:tblLook w:val="04A0" w:firstRow="1" w:lastRow="0" w:firstColumn="1" w:lastColumn="0" w:noHBand="0" w:noVBand="1"/>
      </w:tblPr>
      <w:tblGrid>
        <w:gridCol w:w="4045"/>
        <w:gridCol w:w="5305"/>
      </w:tblGrid>
      <w:tr w:rsidR="007B17EA" w14:paraId="18086424" w14:textId="77777777" w:rsidTr="00615DDA">
        <w:tc>
          <w:tcPr>
            <w:tcW w:w="4045" w:type="dxa"/>
          </w:tcPr>
          <w:p w14:paraId="29E2FD9C" w14:textId="77777777" w:rsidR="007B17EA" w:rsidRPr="00AB4ECE" w:rsidRDefault="007B17EA" w:rsidP="00E9034C">
            <w:pPr>
              <w:ind w:left="0" w:firstLine="0"/>
              <w:rPr>
                <w:b/>
              </w:rPr>
            </w:pPr>
            <w:r w:rsidRPr="00AB4ECE">
              <w:rPr>
                <w:b/>
              </w:rPr>
              <w:t>Source of Systematic Review:</w:t>
            </w:r>
          </w:p>
          <w:p w14:paraId="04280073" w14:textId="77777777" w:rsidR="007B17EA" w:rsidRPr="00AB4ECE" w:rsidRDefault="007B17EA" w:rsidP="00E9034C">
            <w:pPr>
              <w:pStyle w:val="ListParagraph"/>
              <w:numPr>
                <w:ilvl w:val="0"/>
                <w:numId w:val="9"/>
              </w:numPr>
              <w:rPr>
                <w:b/>
              </w:rPr>
            </w:pPr>
            <w:r w:rsidRPr="00AB4ECE">
              <w:rPr>
                <w:b/>
              </w:rPr>
              <w:t>Title</w:t>
            </w:r>
          </w:p>
          <w:p w14:paraId="0DA5E6CA" w14:textId="77777777" w:rsidR="007B17EA" w:rsidRPr="00AB4ECE" w:rsidRDefault="007B17EA" w:rsidP="00E9034C">
            <w:pPr>
              <w:pStyle w:val="ListParagraph"/>
              <w:numPr>
                <w:ilvl w:val="0"/>
                <w:numId w:val="9"/>
              </w:numPr>
              <w:rPr>
                <w:b/>
              </w:rPr>
            </w:pPr>
            <w:r w:rsidRPr="00AB4ECE">
              <w:rPr>
                <w:b/>
              </w:rPr>
              <w:t>Author</w:t>
            </w:r>
          </w:p>
          <w:p w14:paraId="309390E6" w14:textId="77777777" w:rsidR="007B17EA" w:rsidRPr="00AB4ECE" w:rsidRDefault="007B17EA" w:rsidP="00E9034C">
            <w:pPr>
              <w:pStyle w:val="ListParagraph"/>
              <w:numPr>
                <w:ilvl w:val="0"/>
                <w:numId w:val="9"/>
              </w:numPr>
              <w:rPr>
                <w:b/>
              </w:rPr>
            </w:pPr>
            <w:r w:rsidRPr="00AB4ECE">
              <w:rPr>
                <w:b/>
              </w:rPr>
              <w:t>Date</w:t>
            </w:r>
          </w:p>
          <w:p w14:paraId="282AA644" w14:textId="77777777" w:rsidR="007B17EA" w:rsidRPr="00AB4ECE" w:rsidRDefault="007B17EA" w:rsidP="00E9034C">
            <w:pPr>
              <w:pStyle w:val="ListParagraph"/>
              <w:numPr>
                <w:ilvl w:val="0"/>
                <w:numId w:val="9"/>
              </w:numPr>
              <w:rPr>
                <w:b/>
              </w:rPr>
            </w:pPr>
            <w:r w:rsidRPr="00AB4ECE">
              <w:rPr>
                <w:b/>
              </w:rPr>
              <w:t>Citation, including page number</w:t>
            </w:r>
          </w:p>
          <w:p w14:paraId="073948F6" w14:textId="77777777" w:rsidR="007B17EA" w:rsidRPr="00AB4ECE" w:rsidRDefault="007B17EA" w:rsidP="00E9034C">
            <w:pPr>
              <w:pStyle w:val="ListParagraph"/>
              <w:numPr>
                <w:ilvl w:val="0"/>
                <w:numId w:val="9"/>
              </w:numPr>
              <w:rPr>
                <w:b/>
              </w:rPr>
            </w:pPr>
            <w:r w:rsidRPr="00AB4ECE">
              <w:rPr>
                <w:b/>
              </w:rPr>
              <w:t>URL</w:t>
            </w:r>
          </w:p>
        </w:tc>
        <w:tc>
          <w:tcPr>
            <w:tcW w:w="5305" w:type="dxa"/>
          </w:tcPr>
          <w:p w14:paraId="37EC9F0B" w14:textId="77777777" w:rsidR="007B17EA" w:rsidRDefault="007B17EA" w:rsidP="007B17EA">
            <w:pPr>
              <w:ind w:left="0" w:firstLine="0"/>
            </w:pPr>
            <w:r w:rsidRPr="007B17EA">
              <w:t xml:space="preserve">Lehman AF, Lieberman JA, Dixon LB, et al; American Psychiatric Association; Work Group on Schizophrenia. </w:t>
            </w:r>
            <w:r>
              <w:t>“</w:t>
            </w:r>
            <w:r w:rsidRPr="007B17EA">
              <w:t>Practice guideline for the treatment of patients with schizophrenia, second edition.</w:t>
            </w:r>
            <w:r>
              <w:t>”</w:t>
            </w:r>
            <w:r w:rsidRPr="007B17EA">
              <w:t xml:space="preserve"> </w:t>
            </w:r>
            <w:r w:rsidRPr="007B17EA">
              <w:rPr>
                <w:i/>
                <w:iCs/>
              </w:rPr>
              <w:t xml:space="preserve">Am J Psychiatry. </w:t>
            </w:r>
            <w:r w:rsidRPr="007B17EA">
              <w:t>2004;161(2 Suppl):1-56.</w:t>
            </w:r>
            <w:r>
              <w:t xml:space="preserve"> Available at </w:t>
            </w:r>
          </w:p>
          <w:p w14:paraId="05B8A7C2" w14:textId="26CA697D" w:rsidR="007B17EA" w:rsidRPr="003939C2" w:rsidRDefault="007B17EA" w:rsidP="007B17EA">
            <w:pPr>
              <w:ind w:left="0" w:firstLine="0"/>
            </w:pPr>
            <w:r w:rsidRPr="007B17EA">
              <w:t>https://psychiatryonline.org/pb/assets/raw/sitewide/practice_guidelines/guidelines/schizophrenia.pdf</w:t>
            </w:r>
          </w:p>
        </w:tc>
      </w:tr>
      <w:tr w:rsidR="007B17EA" w14:paraId="1365E79A" w14:textId="77777777" w:rsidTr="00615DDA">
        <w:tc>
          <w:tcPr>
            <w:tcW w:w="4045" w:type="dxa"/>
          </w:tcPr>
          <w:p w14:paraId="14F6886E" w14:textId="77777777" w:rsidR="007B17EA" w:rsidRDefault="007B17EA" w:rsidP="00E9034C">
            <w:pPr>
              <w:ind w:left="0" w:firstLine="0"/>
            </w:pPr>
            <w:r>
              <w:t xml:space="preserve">Quote the guideline or recommendation verbatim about the process, structure or intermediate outcome being measured. If </w:t>
            </w:r>
            <w:r>
              <w:lastRenderedPageBreak/>
              <w:t>not a guideline, summarize the conclusions from the SR.</w:t>
            </w:r>
          </w:p>
        </w:tc>
        <w:tc>
          <w:tcPr>
            <w:tcW w:w="5305" w:type="dxa"/>
          </w:tcPr>
          <w:p w14:paraId="6B1157E5" w14:textId="5A5419EA" w:rsidR="007B17EA" w:rsidRPr="00615DDA" w:rsidRDefault="00615DDA" w:rsidP="007B17EA">
            <w:pPr>
              <w:ind w:left="0" w:firstLine="0"/>
              <w:rPr>
                <w:b/>
              </w:rPr>
            </w:pPr>
            <w:r>
              <w:lastRenderedPageBreak/>
              <w:t>“</w:t>
            </w:r>
            <w:r w:rsidRPr="00615DDA">
              <w:t xml:space="preserve">The recommended dose is that which is both effective and not likely to cause side effects that are subjectively difficult to tolerate, since the experience of unpleasant </w:t>
            </w:r>
            <w:r w:rsidRPr="00615DDA">
              <w:lastRenderedPageBreak/>
              <w:t>side effects may affect long-term adherence [I]. The dose may be titrated as quickly as tolerated to the target therapeutic dose of the antipsychotic medication, and unless there is evidence that the patient is having uncomfortable side effects, monitoring of the patient’s clinical status for 2–4 weeks is warranted to evaluate the patient’s response to the treatment [II].</w:t>
            </w:r>
            <w:r>
              <w:rPr>
                <w:b/>
              </w:rPr>
              <w:t>”</w:t>
            </w:r>
          </w:p>
        </w:tc>
      </w:tr>
      <w:tr w:rsidR="007B17EA" w14:paraId="0ADD68BF" w14:textId="77777777" w:rsidTr="00615DDA">
        <w:tc>
          <w:tcPr>
            <w:tcW w:w="4045" w:type="dxa"/>
          </w:tcPr>
          <w:p w14:paraId="4772B8B7" w14:textId="77777777" w:rsidR="007B17EA" w:rsidRDefault="007B17EA" w:rsidP="00E9034C">
            <w:pPr>
              <w:ind w:left="0" w:firstLine="0"/>
            </w:pPr>
            <w:r>
              <w:lastRenderedPageBreak/>
              <w:t xml:space="preserve">Grade assigned to the </w:t>
            </w:r>
            <w:r w:rsidRPr="004E7215">
              <w:rPr>
                <w:b/>
              </w:rPr>
              <w:t>evidence</w:t>
            </w:r>
            <w:r>
              <w:t xml:space="preserve"> associated with the recommendation with the definition of the grade</w:t>
            </w:r>
          </w:p>
        </w:tc>
        <w:tc>
          <w:tcPr>
            <w:tcW w:w="5305" w:type="dxa"/>
          </w:tcPr>
          <w:p w14:paraId="71EF9C7F" w14:textId="77777777" w:rsidR="005C53C5" w:rsidRPr="005C53C5" w:rsidRDefault="005C53C5" w:rsidP="005C53C5">
            <w:pPr>
              <w:ind w:left="0" w:firstLine="0"/>
            </w:pPr>
            <w:r w:rsidRPr="005C53C5">
              <w:t>The guideline did not assign a grade to the quality of the quoted evidence.</w:t>
            </w:r>
          </w:p>
          <w:p w14:paraId="064B1E7E" w14:textId="1FBF2EB9" w:rsidR="007B17EA" w:rsidRDefault="007B17EA" w:rsidP="005C53C5">
            <w:pPr>
              <w:ind w:left="0" w:firstLine="0"/>
            </w:pPr>
          </w:p>
        </w:tc>
      </w:tr>
      <w:tr w:rsidR="007B17EA" w14:paraId="7BE941EA" w14:textId="77777777" w:rsidTr="00615DDA">
        <w:tc>
          <w:tcPr>
            <w:tcW w:w="4045" w:type="dxa"/>
          </w:tcPr>
          <w:p w14:paraId="6B0817DD" w14:textId="77777777" w:rsidR="007B17EA" w:rsidRDefault="007B17EA" w:rsidP="00E9034C">
            <w:pPr>
              <w:ind w:left="0" w:firstLine="0"/>
            </w:pPr>
            <w:r>
              <w:t>Provide all other grades and definitions from the evidence grading system</w:t>
            </w:r>
          </w:p>
        </w:tc>
        <w:tc>
          <w:tcPr>
            <w:tcW w:w="5305" w:type="dxa"/>
          </w:tcPr>
          <w:p w14:paraId="30886722" w14:textId="77777777" w:rsidR="007B17EA" w:rsidRDefault="007B17EA" w:rsidP="00E9034C">
            <w:pPr>
              <w:ind w:left="0" w:firstLine="0"/>
            </w:pPr>
            <w:r>
              <w:t xml:space="preserve">None. </w:t>
            </w:r>
          </w:p>
        </w:tc>
      </w:tr>
      <w:tr w:rsidR="007B17EA" w14:paraId="74D2B42A" w14:textId="77777777" w:rsidTr="00615DDA">
        <w:tc>
          <w:tcPr>
            <w:tcW w:w="4045" w:type="dxa"/>
          </w:tcPr>
          <w:p w14:paraId="3E92A18C" w14:textId="77777777" w:rsidR="007B17EA" w:rsidRDefault="007B17EA" w:rsidP="00E9034C">
            <w:pPr>
              <w:ind w:left="0" w:firstLine="0"/>
            </w:pPr>
            <w:r>
              <w:t xml:space="preserve">Grade assigned to the </w:t>
            </w:r>
            <w:r w:rsidRPr="004E7215">
              <w:rPr>
                <w:b/>
              </w:rPr>
              <w:t>recommendation</w:t>
            </w:r>
            <w:r>
              <w:t xml:space="preserve"> with definition of the grade</w:t>
            </w:r>
          </w:p>
        </w:tc>
        <w:tc>
          <w:tcPr>
            <w:tcW w:w="5305" w:type="dxa"/>
          </w:tcPr>
          <w:p w14:paraId="7D710B7D" w14:textId="3B06FA8E" w:rsidR="007B17EA" w:rsidRDefault="005C53C5" w:rsidP="005C53C5">
            <w:pPr>
              <w:ind w:left="0" w:firstLine="0"/>
            </w:pPr>
            <w:r w:rsidRPr="005C53C5">
              <w:t>The guideline assigned a grade II to its follow-up recommendation.</w:t>
            </w:r>
          </w:p>
        </w:tc>
      </w:tr>
      <w:tr w:rsidR="007B17EA" w14:paraId="3E22E0FE" w14:textId="77777777" w:rsidTr="00615DDA">
        <w:tc>
          <w:tcPr>
            <w:tcW w:w="4045" w:type="dxa"/>
          </w:tcPr>
          <w:p w14:paraId="5256B5E7" w14:textId="77777777" w:rsidR="007B17EA" w:rsidRDefault="007B17EA" w:rsidP="00E9034C">
            <w:pPr>
              <w:ind w:left="0" w:firstLine="0"/>
            </w:pPr>
            <w:r>
              <w:t>Provide all other grades and definitions from the recommendation grading system</w:t>
            </w:r>
          </w:p>
        </w:tc>
        <w:tc>
          <w:tcPr>
            <w:tcW w:w="5305" w:type="dxa"/>
          </w:tcPr>
          <w:p w14:paraId="4800B8DD" w14:textId="77777777" w:rsidR="005C53C5" w:rsidRPr="00BD0DFE" w:rsidRDefault="005C53C5" w:rsidP="005C53C5">
            <w:pPr>
              <w:spacing w:before="240" w:after="240"/>
              <w:ind w:left="432"/>
              <w:rPr>
                <w:rFonts w:eastAsiaTheme="minorEastAsia" w:cs="Times New Roman"/>
              </w:rPr>
            </w:pPr>
            <w:r w:rsidRPr="00BD0DFE">
              <w:rPr>
                <w:rFonts w:eastAsiaTheme="minorEastAsia" w:cs="Times New Roman"/>
              </w:rPr>
              <w:t>The APA grading scale is defined as follows:</w:t>
            </w:r>
          </w:p>
          <w:p w14:paraId="5EC0C33C" w14:textId="77777777" w:rsidR="005C53C5" w:rsidRPr="00BD0DFE" w:rsidRDefault="005C53C5" w:rsidP="005C53C5">
            <w:pPr>
              <w:spacing w:before="240" w:after="240"/>
              <w:ind w:left="432"/>
            </w:pPr>
            <w:r w:rsidRPr="00BD0DFE">
              <w:t xml:space="preserve">[I] Recommended with substantial clinical confidence. </w:t>
            </w:r>
          </w:p>
          <w:p w14:paraId="240EC38B" w14:textId="77777777" w:rsidR="005C53C5" w:rsidRPr="00BD0DFE" w:rsidRDefault="005C53C5" w:rsidP="005C53C5">
            <w:pPr>
              <w:spacing w:before="240" w:after="240"/>
              <w:ind w:left="432"/>
            </w:pPr>
            <w:r w:rsidRPr="00BD0DFE">
              <w:t xml:space="preserve">[II] Recommended with moderate clinical confidence. </w:t>
            </w:r>
          </w:p>
          <w:p w14:paraId="638D487D" w14:textId="657070CE" w:rsidR="007B17EA" w:rsidRDefault="005C53C5" w:rsidP="005C53C5">
            <w:pPr>
              <w:ind w:left="0" w:firstLine="0"/>
            </w:pPr>
            <w:r w:rsidRPr="00BD0DFE">
              <w:t>[III] May be recommended on the basis of individual circumstances.</w:t>
            </w:r>
          </w:p>
        </w:tc>
      </w:tr>
      <w:tr w:rsidR="007B17EA" w14:paraId="1EE58D40" w14:textId="77777777" w:rsidTr="00615DDA">
        <w:trPr>
          <w:trHeight w:val="2483"/>
        </w:trPr>
        <w:tc>
          <w:tcPr>
            <w:tcW w:w="4045" w:type="dxa"/>
          </w:tcPr>
          <w:p w14:paraId="5B1E343B" w14:textId="77777777" w:rsidR="007B17EA" w:rsidRDefault="007B17EA" w:rsidP="00E9034C">
            <w:pPr>
              <w:ind w:left="0" w:firstLine="0"/>
            </w:pPr>
            <w:r>
              <w:t>Body of evidence:</w:t>
            </w:r>
          </w:p>
          <w:p w14:paraId="30C6B1F9" w14:textId="77777777" w:rsidR="007B17EA" w:rsidRDefault="007B17EA" w:rsidP="00E9034C">
            <w:pPr>
              <w:pStyle w:val="ListParagraph"/>
              <w:numPr>
                <w:ilvl w:val="0"/>
                <w:numId w:val="10"/>
              </w:numPr>
            </w:pPr>
            <w:r>
              <w:t>Quantity – how many studies?</w:t>
            </w:r>
          </w:p>
          <w:p w14:paraId="51A65E92" w14:textId="77777777" w:rsidR="007B17EA" w:rsidRDefault="007B17EA" w:rsidP="00E9034C">
            <w:pPr>
              <w:pStyle w:val="ListParagraph"/>
              <w:numPr>
                <w:ilvl w:val="0"/>
                <w:numId w:val="10"/>
              </w:numPr>
            </w:pPr>
            <w:r>
              <w:t>Quality – what type of studies?</w:t>
            </w:r>
          </w:p>
        </w:tc>
        <w:tc>
          <w:tcPr>
            <w:tcW w:w="5305" w:type="dxa"/>
          </w:tcPr>
          <w:p w14:paraId="6A137DE6" w14:textId="7975D303" w:rsidR="00641426" w:rsidRPr="00641426" w:rsidRDefault="00641426" w:rsidP="00641426">
            <w:pPr>
              <w:ind w:left="0" w:firstLine="0"/>
            </w:pPr>
            <w:r w:rsidRPr="00641426">
              <w:t>The evidence reviewed to support</w:t>
            </w:r>
            <w:r>
              <w:t xml:space="preserve"> this guideline </w:t>
            </w:r>
            <w:r w:rsidRPr="00641426">
              <w:t>included clinical trials and meta-analyses related to schizophrenia and schizoaffective disorder to reflect a synthesis of the current literature and clinical practice on the treatment of patients with schizophrenia.</w:t>
            </w:r>
          </w:p>
          <w:p w14:paraId="302EA171" w14:textId="77777777" w:rsidR="00641426" w:rsidRDefault="00641426" w:rsidP="005C53C5">
            <w:pPr>
              <w:ind w:left="0" w:firstLine="0"/>
            </w:pPr>
          </w:p>
          <w:p w14:paraId="33B5C11A" w14:textId="74B6B452" w:rsidR="005C53C5" w:rsidRPr="005C53C5" w:rsidRDefault="005C53C5" w:rsidP="005C53C5">
            <w:pPr>
              <w:ind w:left="0" w:firstLine="0"/>
            </w:pPr>
            <w:r w:rsidRPr="005C53C5">
              <w:t>Evidence cited in support of this guideline includes 181 double-blind randomized clinical trials, 116 randomized clinical trials, 152 clinical trials, 133 cohort or longitudinal studies, 122 case-control studies, 71 reviews with secondary data analysis, 167 literature reviews, and 497 other types of studies.</w:t>
            </w:r>
            <w:r w:rsidR="00641426">
              <w:t xml:space="preserve"> </w:t>
            </w:r>
            <w:r w:rsidR="00641426" w:rsidRPr="00641426">
              <w:t>Evidence reviewed in the development of this guideline spanned from 1994-2002.</w:t>
            </w:r>
          </w:p>
          <w:p w14:paraId="2E8AD3A1" w14:textId="24B17FF6" w:rsidR="005C53C5" w:rsidRDefault="005C53C5" w:rsidP="007B17EA">
            <w:pPr>
              <w:ind w:left="0" w:firstLine="0"/>
            </w:pPr>
          </w:p>
        </w:tc>
      </w:tr>
      <w:tr w:rsidR="007B17EA" w14:paraId="4B0B0BE6" w14:textId="77777777" w:rsidTr="00615DDA">
        <w:tc>
          <w:tcPr>
            <w:tcW w:w="4045" w:type="dxa"/>
          </w:tcPr>
          <w:p w14:paraId="676887D8" w14:textId="77777777" w:rsidR="007B17EA" w:rsidRDefault="007B17EA" w:rsidP="00E9034C">
            <w:pPr>
              <w:ind w:left="0" w:firstLine="0"/>
            </w:pPr>
            <w:r>
              <w:t xml:space="preserve">Estimates of benefit and consistency across studies </w:t>
            </w:r>
          </w:p>
        </w:tc>
        <w:tc>
          <w:tcPr>
            <w:tcW w:w="5305" w:type="dxa"/>
          </w:tcPr>
          <w:p w14:paraId="1BC72D3B" w14:textId="4414A8FC" w:rsidR="001133AF" w:rsidRPr="001133AF" w:rsidRDefault="005C53C5" w:rsidP="001133AF">
            <w:pPr>
              <w:ind w:left="0" w:firstLine="0"/>
            </w:pPr>
            <w:r w:rsidRPr="005C53C5">
              <w:t>The APA guideline was developed based on a comprehensi</w:t>
            </w:r>
            <w:r w:rsidR="001133AF">
              <w:t>ve literature review. However, details of</w:t>
            </w:r>
            <w:r w:rsidR="001133AF" w:rsidRPr="001133AF">
              <w:t xml:space="preserve"> the consistency of the reviewed evidence were not provided.</w:t>
            </w:r>
          </w:p>
          <w:p w14:paraId="431EF119" w14:textId="77777777" w:rsidR="001133AF" w:rsidRPr="001133AF" w:rsidRDefault="001133AF" w:rsidP="001133AF">
            <w:pPr>
              <w:ind w:left="0" w:firstLine="0"/>
            </w:pPr>
          </w:p>
          <w:p w14:paraId="30306121" w14:textId="123060AD" w:rsidR="007B17EA" w:rsidRDefault="001E7459" w:rsidP="001133AF">
            <w:pPr>
              <w:ind w:left="0" w:firstLine="0"/>
            </w:pPr>
            <w:r>
              <w:t>The guideline does not</w:t>
            </w:r>
            <w:r w:rsidR="001133AF" w:rsidRPr="001133AF">
              <w:t xml:space="preserve"> provide a quantitative estimate of benefit for follow-up care for patients prescribed antipsychotic medications. However, there is consensus among the guidelines that close follow-up monitoring is an essential standard of care for patients prescribed </w:t>
            </w:r>
            <w:r w:rsidR="001133AF" w:rsidRPr="001133AF">
              <w:lastRenderedPageBreak/>
              <w:t>antipsychotic medications to ensure effectiveness of treatment and to mitigate any adverse consequences or reactions to the drugs.</w:t>
            </w:r>
          </w:p>
        </w:tc>
      </w:tr>
      <w:tr w:rsidR="007B17EA" w14:paraId="2A3EE00F" w14:textId="77777777" w:rsidTr="00615DDA">
        <w:tc>
          <w:tcPr>
            <w:tcW w:w="4045" w:type="dxa"/>
          </w:tcPr>
          <w:p w14:paraId="01D45964" w14:textId="77777777" w:rsidR="007B17EA" w:rsidRDefault="007B17EA" w:rsidP="00E9034C">
            <w:pPr>
              <w:ind w:left="0" w:firstLine="0"/>
            </w:pPr>
            <w:r>
              <w:lastRenderedPageBreak/>
              <w:t>What harms were identified?</w:t>
            </w:r>
          </w:p>
        </w:tc>
        <w:tc>
          <w:tcPr>
            <w:tcW w:w="5305" w:type="dxa"/>
          </w:tcPr>
          <w:p w14:paraId="16A22065" w14:textId="452A5BD0" w:rsidR="001E7459" w:rsidRPr="001E7459" w:rsidRDefault="001E7459" w:rsidP="001E7459">
            <w:pPr>
              <w:ind w:left="0" w:firstLine="0"/>
            </w:pPr>
            <w:r w:rsidRPr="001E7459">
              <w:t xml:space="preserve">While the guideline does not give a formal description or estimate of harms, we anticipate the expected benefits of follow-up care to far outweigh any potential harms because ongoing monitoring and follow-up is a basic standard of care for patients taking antipsychotic </w:t>
            </w:r>
            <w:r w:rsidR="00C67671">
              <w:t>medications.</w:t>
            </w:r>
          </w:p>
          <w:p w14:paraId="4A75F4D8" w14:textId="77777777" w:rsidR="007B17EA" w:rsidRDefault="007B17EA" w:rsidP="00E9034C">
            <w:pPr>
              <w:ind w:left="0" w:firstLine="0"/>
            </w:pPr>
          </w:p>
        </w:tc>
      </w:tr>
      <w:tr w:rsidR="007B17EA" w14:paraId="71FAE7B6" w14:textId="77777777" w:rsidTr="00615DDA">
        <w:tc>
          <w:tcPr>
            <w:tcW w:w="4045" w:type="dxa"/>
          </w:tcPr>
          <w:p w14:paraId="492664E8" w14:textId="77777777" w:rsidR="007B17EA" w:rsidRDefault="007B17EA" w:rsidP="00E9034C">
            <w:pPr>
              <w:ind w:left="0" w:firstLine="0"/>
            </w:pPr>
            <w:r>
              <w:t>Identify any new studies conducted since the SR. Do the new studies change the conclusions from the SR?</w:t>
            </w:r>
          </w:p>
        </w:tc>
        <w:tc>
          <w:tcPr>
            <w:tcW w:w="5305" w:type="dxa"/>
          </w:tcPr>
          <w:p w14:paraId="60FA00BB" w14:textId="326DED80" w:rsidR="007B17EA" w:rsidRDefault="001E7459" w:rsidP="00E9034C">
            <w:pPr>
              <w:ind w:left="0" w:firstLine="0"/>
            </w:pPr>
            <w:r w:rsidRPr="001E7459">
              <w:t xml:space="preserve">We did not identify any new studies since the clinical guideline was published that change the conclusion in the recommendation.  </w:t>
            </w:r>
          </w:p>
        </w:tc>
      </w:tr>
    </w:tbl>
    <w:p w14:paraId="478E79C1" w14:textId="77777777" w:rsidR="007B17EA" w:rsidRDefault="007B17EA" w:rsidP="007B17EA">
      <w:pPr>
        <w:ind w:left="432"/>
        <w:rPr>
          <w:rFonts w:eastAsiaTheme="minorEastAsia" w:cs="Times New Roman"/>
          <w:b/>
        </w:rPr>
      </w:pPr>
    </w:p>
    <w:p w14:paraId="23642E5E" w14:textId="4AFA920A" w:rsidR="007B17EA" w:rsidRPr="007B17EA" w:rsidRDefault="007B17EA" w:rsidP="007B17EA">
      <w:pPr>
        <w:ind w:left="432"/>
        <w:rPr>
          <w:rFonts w:eastAsiaTheme="minorEastAsia" w:cs="Times New Roman"/>
          <w:b/>
        </w:rPr>
      </w:pPr>
      <w:r>
        <w:rPr>
          <w:rFonts w:eastAsiaTheme="minorEastAsia" w:cs="Times New Roman"/>
          <w:b/>
        </w:rPr>
        <w:t>Guideline</w:t>
      </w:r>
      <w:r w:rsidRPr="007B17EA">
        <w:rPr>
          <w:rFonts w:eastAsiaTheme="minorEastAsia" w:cs="Times New Roman"/>
          <w:b/>
        </w:rPr>
        <w:t xml:space="preserve"> 3. </w:t>
      </w:r>
    </w:p>
    <w:tbl>
      <w:tblPr>
        <w:tblStyle w:val="TableGrid"/>
        <w:tblW w:w="0" w:type="auto"/>
        <w:tblLayout w:type="fixed"/>
        <w:tblLook w:val="04A0" w:firstRow="1" w:lastRow="0" w:firstColumn="1" w:lastColumn="0" w:noHBand="0" w:noVBand="1"/>
      </w:tblPr>
      <w:tblGrid>
        <w:gridCol w:w="4045"/>
        <w:gridCol w:w="5305"/>
      </w:tblGrid>
      <w:tr w:rsidR="007B17EA" w14:paraId="58C8B056" w14:textId="77777777" w:rsidTr="00615DDA">
        <w:tc>
          <w:tcPr>
            <w:tcW w:w="4045" w:type="dxa"/>
          </w:tcPr>
          <w:p w14:paraId="63046622" w14:textId="77777777" w:rsidR="007B17EA" w:rsidRPr="00AB4ECE" w:rsidRDefault="007B17EA" w:rsidP="00E9034C">
            <w:pPr>
              <w:ind w:left="0" w:firstLine="0"/>
              <w:rPr>
                <w:b/>
              </w:rPr>
            </w:pPr>
            <w:r w:rsidRPr="00AB4ECE">
              <w:rPr>
                <w:b/>
              </w:rPr>
              <w:t>Source of Systematic Review:</w:t>
            </w:r>
          </w:p>
          <w:p w14:paraId="3ACF098F" w14:textId="77777777" w:rsidR="007B17EA" w:rsidRPr="00AB4ECE" w:rsidRDefault="007B17EA" w:rsidP="00E9034C">
            <w:pPr>
              <w:pStyle w:val="ListParagraph"/>
              <w:numPr>
                <w:ilvl w:val="0"/>
                <w:numId w:val="9"/>
              </w:numPr>
              <w:rPr>
                <w:b/>
              </w:rPr>
            </w:pPr>
            <w:r w:rsidRPr="00AB4ECE">
              <w:rPr>
                <w:b/>
              </w:rPr>
              <w:t>Title</w:t>
            </w:r>
          </w:p>
          <w:p w14:paraId="33AE794F" w14:textId="77777777" w:rsidR="007B17EA" w:rsidRPr="00AB4ECE" w:rsidRDefault="007B17EA" w:rsidP="00E9034C">
            <w:pPr>
              <w:pStyle w:val="ListParagraph"/>
              <w:numPr>
                <w:ilvl w:val="0"/>
                <w:numId w:val="9"/>
              </w:numPr>
              <w:rPr>
                <w:b/>
              </w:rPr>
            </w:pPr>
            <w:r w:rsidRPr="00AB4ECE">
              <w:rPr>
                <w:b/>
              </w:rPr>
              <w:t>Author</w:t>
            </w:r>
          </w:p>
          <w:p w14:paraId="477094AE" w14:textId="77777777" w:rsidR="007B17EA" w:rsidRPr="00AB4ECE" w:rsidRDefault="007B17EA" w:rsidP="00E9034C">
            <w:pPr>
              <w:pStyle w:val="ListParagraph"/>
              <w:numPr>
                <w:ilvl w:val="0"/>
                <w:numId w:val="9"/>
              </w:numPr>
              <w:rPr>
                <w:b/>
              </w:rPr>
            </w:pPr>
            <w:r w:rsidRPr="00AB4ECE">
              <w:rPr>
                <w:b/>
              </w:rPr>
              <w:t>Date</w:t>
            </w:r>
          </w:p>
          <w:p w14:paraId="4504ADE7" w14:textId="77777777" w:rsidR="007B17EA" w:rsidRPr="00AB4ECE" w:rsidRDefault="007B17EA" w:rsidP="00E9034C">
            <w:pPr>
              <w:pStyle w:val="ListParagraph"/>
              <w:numPr>
                <w:ilvl w:val="0"/>
                <w:numId w:val="9"/>
              </w:numPr>
              <w:rPr>
                <w:b/>
              </w:rPr>
            </w:pPr>
            <w:r w:rsidRPr="00AB4ECE">
              <w:rPr>
                <w:b/>
              </w:rPr>
              <w:t>Citation, including page number</w:t>
            </w:r>
          </w:p>
          <w:p w14:paraId="5F9056D3" w14:textId="77777777" w:rsidR="007B17EA" w:rsidRPr="00AB4ECE" w:rsidRDefault="007B17EA" w:rsidP="00E9034C">
            <w:pPr>
              <w:pStyle w:val="ListParagraph"/>
              <w:numPr>
                <w:ilvl w:val="0"/>
                <w:numId w:val="9"/>
              </w:numPr>
              <w:rPr>
                <w:b/>
              </w:rPr>
            </w:pPr>
            <w:r w:rsidRPr="00AB4ECE">
              <w:rPr>
                <w:b/>
              </w:rPr>
              <w:t>URL</w:t>
            </w:r>
          </w:p>
        </w:tc>
        <w:tc>
          <w:tcPr>
            <w:tcW w:w="5305" w:type="dxa"/>
          </w:tcPr>
          <w:p w14:paraId="3F5FC9AC" w14:textId="6E54E790" w:rsidR="007B17EA" w:rsidRPr="003939C2" w:rsidRDefault="00615DDA" w:rsidP="00615DDA">
            <w:pPr>
              <w:ind w:left="0" w:firstLine="0"/>
            </w:pPr>
            <w:r>
              <w:t>University of South Florida College of Behavioral and Community Sciences. “</w:t>
            </w:r>
            <w:r w:rsidRPr="00615DDA">
              <w:t>2015 Florida Best Practice Psychotherapeutic Medication Guidelines for Adults</w:t>
            </w:r>
            <w:r>
              <w:t xml:space="preserve">.” </w:t>
            </w:r>
            <w:r w:rsidRPr="00615DDA">
              <w:t>The University of South Florida, Florida Medicaid Drug Therapy Management Program sponsored by the Florida Agency</w:t>
            </w:r>
            <w:r>
              <w:t xml:space="preserve"> for Health Care Administration, December 2015.</w:t>
            </w:r>
            <w:r w:rsidRPr="00615DDA">
              <w:t xml:space="preserve"> Available at: http://www.medicaidmentalhealth.org/_assets/file/Guidelines/Web_2015-Psychotherapeutic%20Medication%20Guidelines%20for%20Adults_Final_Approved1.pdf</w:t>
            </w:r>
          </w:p>
        </w:tc>
      </w:tr>
      <w:tr w:rsidR="007B17EA" w14:paraId="5F7C5C07" w14:textId="77777777" w:rsidTr="00615DDA">
        <w:tc>
          <w:tcPr>
            <w:tcW w:w="4045" w:type="dxa"/>
          </w:tcPr>
          <w:p w14:paraId="2621BFD1" w14:textId="77777777" w:rsidR="007B17EA" w:rsidRDefault="007B17EA" w:rsidP="00E9034C">
            <w:pPr>
              <w:ind w:left="0" w:firstLine="0"/>
            </w:pPr>
            <w:r>
              <w:t>Quote the guideline or recommendation verbatim about the process, structure or intermediate outcome being measured. If not a guideline, summarize the conclusions from the SR.</w:t>
            </w:r>
          </w:p>
        </w:tc>
        <w:tc>
          <w:tcPr>
            <w:tcW w:w="5305" w:type="dxa"/>
          </w:tcPr>
          <w:p w14:paraId="48EA9316" w14:textId="77777777" w:rsidR="00615DDA" w:rsidRPr="00A406D7" w:rsidRDefault="00615DDA" w:rsidP="00615DDA">
            <w:pPr>
              <w:ind w:left="432"/>
              <w:rPr>
                <w:rFonts w:eastAsiaTheme="minorEastAsia" w:cs="Times New Roman"/>
                <w:b/>
              </w:rPr>
            </w:pPr>
            <w:r w:rsidRPr="00A406D7">
              <w:rPr>
                <w:rFonts w:eastAsiaTheme="minorEastAsia" w:cs="Times New Roman"/>
                <w:b/>
              </w:rPr>
              <w:t>Principles of Practice</w:t>
            </w:r>
          </w:p>
          <w:p w14:paraId="6A1990F3" w14:textId="77777777" w:rsidR="00615DDA" w:rsidRPr="00A406D7" w:rsidRDefault="00615DDA" w:rsidP="00615DDA">
            <w:pPr>
              <w:ind w:left="432"/>
              <w:rPr>
                <w:rFonts w:eastAsiaTheme="minorEastAsia" w:cs="Times New Roman"/>
                <w:b/>
              </w:rPr>
            </w:pPr>
          </w:p>
          <w:p w14:paraId="71DAB1EF" w14:textId="77777777" w:rsidR="00615DDA" w:rsidRPr="00A406D7" w:rsidRDefault="00615DDA" w:rsidP="00615DDA">
            <w:pPr>
              <w:ind w:left="432"/>
              <w:rPr>
                <w:rFonts w:eastAsiaTheme="minorEastAsia" w:cs="Times New Roman"/>
                <w:b/>
              </w:rPr>
            </w:pPr>
            <w:r w:rsidRPr="00A406D7">
              <w:rPr>
                <w:rFonts w:eastAsiaTheme="minorEastAsia" w:cs="Times New Roman"/>
                <w:b/>
              </w:rPr>
              <w:t>Comprehensive Assessment</w:t>
            </w:r>
          </w:p>
          <w:p w14:paraId="6DE92119" w14:textId="77777777" w:rsidR="00615DDA" w:rsidRPr="00A406D7" w:rsidRDefault="00615DDA" w:rsidP="00615DDA">
            <w:pPr>
              <w:pStyle w:val="ListParagraph"/>
              <w:numPr>
                <w:ilvl w:val="0"/>
                <w:numId w:val="13"/>
              </w:numPr>
              <w:spacing w:after="0" w:line="240" w:lineRule="auto"/>
              <w:rPr>
                <w:rFonts w:cs="Times New Roman"/>
              </w:rPr>
            </w:pPr>
            <w:r w:rsidRPr="00A406D7">
              <w:rPr>
                <w:rFonts w:cs="Times New Roman"/>
              </w:rPr>
              <w:t>Careful, differential diagnostic evaluation</w:t>
            </w:r>
          </w:p>
          <w:p w14:paraId="23A79EEA" w14:textId="77777777" w:rsidR="00615DDA" w:rsidRPr="00A406D7" w:rsidRDefault="00615DDA" w:rsidP="00615DDA">
            <w:pPr>
              <w:pStyle w:val="ListParagraph"/>
              <w:numPr>
                <w:ilvl w:val="0"/>
                <w:numId w:val="13"/>
              </w:numPr>
              <w:spacing w:after="0" w:line="240" w:lineRule="auto"/>
              <w:rPr>
                <w:rFonts w:cs="Times New Roman"/>
              </w:rPr>
            </w:pPr>
            <w:r w:rsidRPr="00A406D7">
              <w:rPr>
                <w:rFonts w:cs="Times New Roman"/>
              </w:rPr>
              <w:t>Risk for suicide and violence</w:t>
            </w:r>
          </w:p>
          <w:p w14:paraId="708840F6" w14:textId="77777777" w:rsidR="00615DDA" w:rsidRPr="00A406D7" w:rsidRDefault="00615DDA" w:rsidP="00615DDA">
            <w:pPr>
              <w:pStyle w:val="ListParagraph"/>
              <w:numPr>
                <w:ilvl w:val="0"/>
                <w:numId w:val="13"/>
              </w:numPr>
              <w:spacing w:after="0" w:line="240" w:lineRule="auto"/>
              <w:rPr>
                <w:rFonts w:cs="Times New Roman"/>
              </w:rPr>
            </w:pPr>
            <w:r w:rsidRPr="00A406D7">
              <w:rPr>
                <w:rFonts w:cs="Times New Roman"/>
              </w:rPr>
              <w:t>Co-occurring mental and medical disorders</w:t>
            </w:r>
          </w:p>
          <w:p w14:paraId="363101EC" w14:textId="77777777" w:rsidR="00615DDA" w:rsidRPr="00A406D7" w:rsidRDefault="00615DDA" w:rsidP="00615DDA">
            <w:pPr>
              <w:pStyle w:val="ListParagraph"/>
              <w:numPr>
                <w:ilvl w:val="0"/>
                <w:numId w:val="13"/>
              </w:numPr>
              <w:spacing w:after="0" w:line="240" w:lineRule="auto"/>
              <w:rPr>
                <w:rFonts w:cs="Times New Roman"/>
              </w:rPr>
            </w:pPr>
            <w:r w:rsidRPr="00A406D7">
              <w:rPr>
                <w:rFonts w:cs="Times New Roman"/>
              </w:rPr>
              <w:t>Substance abuse disorders, including tobacco use</w:t>
            </w:r>
          </w:p>
          <w:p w14:paraId="11238B96" w14:textId="77777777" w:rsidR="00615DDA" w:rsidRPr="00A406D7" w:rsidRDefault="00615DDA" w:rsidP="00615DDA">
            <w:pPr>
              <w:pStyle w:val="ListParagraph"/>
              <w:numPr>
                <w:ilvl w:val="0"/>
                <w:numId w:val="13"/>
              </w:numPr>
              <w:spacing w:after="0" w:line="240" w:lineRule="auto"/>
              <w:rPr>
                <w:rFonts w:cs="Times New Roman"/>
              </w:rPr>
            </w:pPr>
            <w:r w:rsidRPr="00A406D7">
              <w:rPr>
                <w:rFonts w:cs="Times New Roman"/>
              </w:rPr>
              <w:t>Potential bipolar disorder must be assessed in patients presenting with depression</w:t>
            </w:r>
          </w:p>
          <w:p w14:paraId="1BAEAC99" w14:textId="77777777" w:rsidR="00615DDA" w:rsidRPr="00A406D7" w:rsidRDefault="00615DDA" w:rsidP="00615DDA">
            <w:pPr>
              <w:pStyle w:val="ListParagraph"/>
              <w:numPr>
                <w:ilvl w:val="0"/>
                <w:numId w:val="13"/>
              </w:numPr>
              <w:spacing w:after="0" w:line="240" w:lineRule="auto"/>
              <w:rPr>
                <w:rFonts w:cs="Times New Roman"/>
              </w:rPr>
            </w:pPr>
            <w:r w:rsidRPr="00A406D7">
              <w:rPr>
                <w:rFonts w:cs="Times New Roman"/>
              </w:rPr>
              <w:t>Serious mental health conditions are chronic in nature; therefore, a long-term</w:t>
            </w:r>
          </w:p>
          <w:p w14:paraId="1720186A" w14:textId="77777777" w:rsidR="00615DDA" w:rsidRPr="00A406D7" w:rsidRDefault="00615DDA" w:rsidP="00615DDA">
            <w:pPr>
              <w:pStyle w:val="ListParagraph"/>
              <w:spacing w:after="0" w:line="240" w:lineRule="auto"/>
              <w:ind w:left="1260"/>
              <w:rPr>
                <w:rFonts w:cs="Times New Roman"/>
              </w:rPr>
            </w:pPr>
            <w:r w:rsidRPr="00A406D7">
              <w:rPr>
                <w:rFonts w:cs="Times New Roman"/>
              </w:rPr>
              <w:t>management plan is essential</w:t>
            </w:r>
          </w:p>
          <w:p w14:paraId="45556224" w14:textId="77777777" w:rsidR="00615DDA" w:rsidRPr="00A406D7" w:rsidRDefault="00615DDA" w:rsidP="00615DDA">
            <w:pPr>
              <w:pStyle w:val="ListParagraph"/>
              <w:numPr>
                <w:ilvl w:val="1"/>
                <w:numId w:val="13"/>
              </w:numPr>
              <w:spacing w:after="0" w:line="240" w:lineRule="auto"/>
              <w:rPr>
                <w:rFonts w:cs="Times New Roman"/>
              </w:rPr>
            </w:pPr>
            <w:r w:rsidRPr="00A406D7">
              <w:rPr>
                <w:rFonts w:cs="Times New Roman"/>
              </w:rPr>
              <w:t>Use measurement-based care to measure symptoms, side effects, and adherence</w:t>
            </w:r>
          </w:p>
          <w:p w14:paraId="77A2CB6D" w14:textId="77777777" w:rsidR="00615DDA" w:rsidRPr="00A406D7" w:rsidRDefault="00615DDA" w:rsidP="00615DDA">
            <w:pPr>
              <w:pStyle w:val="ListParagraph"/>
              <w:numPr>
                <w:ilvl w:val="1"/>
                <w:numId w:val="13"/>
              </w:numPr>
              <w:spacing w:after="0" w:line="240" w:lineRule="auto"/>
              <w:rPr>
                <w:rFonts w:cs="Times New Roman"/>
              </w:rPr>
            </w:pPr>
            <w:r w:rsidRPr="00A406D7">
              <w:rPr>
                <w:rFonts w:cs="Times New Roman"/>
              </w:rPr>
              <w:t xml:space="preserve">Select maintenance medications that have a low relative risk of </w:t>
            </w:r>
            <w:r w:rsidRPr="00A406D7">
              <w:rPr>
                <w:rFonts w:cs="Times New Roman"/>
              </w:rPr>
              <w:lastRenderedPageBreak/>
              <w:t>weight gain and metabolic syndrome</w:t>
            </w:r>
          </w:p>
          <w:p w14:paraId="3B631852" w14:textId="77777777" w:rsidR="00615DDA" w:rsidRPr="00A406D7" w:rsidRDefault="00615DDA" w:rsidP="00615DDA">
            <w:pPr>
              <w:pStyle w:val="ListParagraph"/>
              <w:numPr>
                <w:ilvl w:val="1"/>
                <w:numId w:val="13"/>
              </w:numPr>
              <w:spacing w:after="0" w:line="240" w:lineRule="auto"/>
              <w:rPr>
                <w:rFonts w:cs="Times New Roman"/>
              </w:rPr>
            </w:pPr>
            <w:r w:rsidRPr="00A406D7">
              <w:rPr>
                <w:rFonts w:cs="Times New Roman"/>
              </w:rPr>
              <w:t>Monitoring of physical health parameters and medication side effects (See</w:t>
            </w:r>
          </w:p>
          <w:p w14:paraId="63A8E837" w14:textId="77777777" w:rsidR="00615DDA" w:rsidRPr="00A406D7" w:rsidRDefault="00615DDA" w:rsidP="00615DDA">
            <w:pPr>
              <w:pStyle w:val="ListParagraph"/>
              <w:spacing w:after="0" w:line="240" w:lineRule="auto"/>
              <w:ind w:left="1980"/>
              <w:rPr>
                <w:rFonts w:cs="Times New Roman"/>
              </w:rPr>
            </w:pPr>
            <w:r w:rsidRPr="00A406D7">
              <w:rPr>
                <w:rFonts w:cs="Times New Roman"/>
              </w:rPr>
              <w:t>Program publication A Summary for Monitoring Physical Health and Side-Effects of Psychiatric Medications in the Severely Mentally Ill Population available at www.medicaidmentalhealth.org)</w:t>
            </w:r>
          </w:p>
          <w:p w14:paraId="61E16B6E" w14:textId="77777777" w:rsidR="00615DDA" w:rsidRPr="00A406D7" w:rsidRDefault="00615DDA" w:rsidP="00615DDA">
            <w:pPr>
              <w:pStyle w:val="ListParagraph"/>
              <w:numPr>
                <w:ilvl w:val="1"/>
                <w:numId w:val="13"/>
              </w:numPr>
              <w:spacing w:after="0" w:line="240" w:lineRule="auto"/>
              <w:rPr>
                <w:rFonts w:cs="Times New Roman"/>
              </w:rPr>
            </w:pPr>
            <w:r w:rsidRPr="00A406D7">
              <w:rPr>
                <w:rFonts w:cs="Times New Roman"/>
              </w:rPr>
              <w:t>Integrate care of psychiatrists and primary care providers</w:t>
            </w:r>
          </w:p>
          <w:p w14:paraId="1FE358EB" w14:textId="77777777" w:rsidR="00615DDA" w:rsidRPr="00A406D7" w:rsidRDefault="00615DDA" w:rsidP="00615DDA">
            <w:pPr>
              <w:pStyle w:val="ListParagraph"/>
              <w:numPr>
                <w:ilvl w:val="1"/>
                <w:numId w:val="13"/>
              </w:numPr>
              <w:spacing w:after="0" w:line="240" w:lineRule="auto"/>
              <w:rPr>
                <w:rFonts w:cs="Times New Roman"/>
              </w:rPr>
            </w:pPr>
            <w:r w:rsidRPr="00A406D7">
              <w:rPr>
                <w:rFonts w:cs="Times New Roman"/>
              </w:rPr>
              <w:t>Incorporate collaborative/shared treatment decision-making with patients and family/caregivers</w:t>
            </w:r>
          </w:p>
          <w:p w14:paraId="6FD6EFCF" w14:textId="77777777" w:rsidR="00615DDA" w:rsidRPr="00A406D7" w:rsidRDefault="00615DDA" w:rsidP="00615DDA">
            <w:pPr>
              <w:pStyle w:val="ListParagraph"/>
              <w:numPr>
                <w:ilvl w:val="1"/>
                <w:numId w:val="13"/>
              </w:numPr>
              <w:spacing w:after="0" w:line="240" w:lineRule="auto"/>
              <w:rPr>
                <w:rFonts w:cs="Times New Roman"/>
              </w:rPr>
            </w:pPr>
            <w:r w:rsidRPr="00A406D7">
              <w:rPr>
                <w:rFonts w:cs="Times New Roman"/>
              </w:rPr>
              <w:t>Perform a psychosocial assessment</w:t>
            </w:r>
          </w:p>
          <w:p w14:paraId="23BABA22" w14:textId="77777777" w:rsidR="00615DDA" w:rsidRPr="00A406D7" w:rsidRDefault="00615DDA" w:rsidP="00615DDA">
            <w:pPr>
              <w:pStyle w:val="ListParagraph"/>
              <w:numPr>
                <w:ilvl w:val="1"/>
                <w:numId w:val="13"/>
              </w:numPr>
              <w:spacing w:after="0" w:line="240" w:lineRule="auto"/>
              <w:rPr>
                <w:rFonts w:cs="Times New Roman"/>
              </w:rPr>
            </w:pPr>
            <w:r w:rsidRPr="00A406D7">
              <w:rPr>
                <w:rFonts w:cs="Times New Roman"/>
              </w:rPr>
              <w:t>Assess social support system (housing, family, other caregivers)</w:t>
            </w:r>
          </w:p>
          <w:p w14:paraId="4D836D69" w14:textId="77777777" w:rsidR="00615DDA" w:rsidRPr="00A406D7" w:rsidRDefault="00615DDA" w:rsidP="00615DDA">
            <w:pPr>
              <w:pStyle w:val="ListParagraph"/>
              <w:numPr>
                <w:ilvl w:val="1"/>
                <w:numId w:val="13"/>
              </w:numPr>
              <w:spacing w:after="0" w:line="240" w:lineRule="auto"/>
              <w:rPr>
                <w:rFonts w:cs="Times New Roman"/>
              </w:rPr>
            </w:pPr>
            <w:r w:rsidRPr="00A406D7">
              <w:rPr>
                <w:rFonts w:cs="Times New Roman"/>
              </w:rPr>
              <w:t>Evaluate threats to continuity of care (access to medication, adherence, etc.)</w:t>
            </w:r>
          </w:p>
          <w:p w14:paraId="460944CA" w14:textId="77777777" w:rsidR="00615DDA" w:rsidRPr="00A406D7" w:rsidRDefault="00615DDA" w:rsidP="00615DDA">
            <w:pPr>
              <w:pStyle w:val="ListParagraph"/>
              <w:numPr>
                <w:ilvl w:val="1"/>
                <w:numId w:val="13"/>
              </w:numPr>
              <w:spacing w:after="0" w:line="240" w:lineRule="auto"/>
              <w:rPr>
                <w:rFonts w:cs="Times New Roman"/>
              </w:rPr>
            </w:pPr>
            <w:r w:rsidRPr="00A406D7">
              <w:rPr>
                <w:rFonts w:cs="Times New Roman"/>
              </w:rPr>
              <w:t>Give patients tools/support for recovery and self-management</w:t>
            </w:r>
          </w:p>
          <w:p w14:paraId="6CA0C595" w14:textId="77777777" w:rsidR="00615DDA" w:rsidRPr="00A406D7" w:rsidRDefault="00615DDA" w:rsidP="00615DDA">
            <w:pPr>
              <w:ind w:left="432"/>
              <w:rPr>
                <w:rFonts w:eastAsiaTheme="minorEastAsia" w:cs="Times New Roman"/>
              </w:rPr>
            </w:pPr>
          </w:p>
          <w:p w14:paraId="6EC8DAEA" w14:textId="77777777" w:rsidR="00615DDA" w:rsidRPr="00A406D7" w:rsidRDefault="00615DDA" w:rsidP="00615DDA">
            <w:pPr>
              <w:ind w:left="432"/>
              <w:rPr>
                <w:rFonts w:eastAsiaTheme="minorEastAsia" w:cs="Times New Roman"/>
                <w:b/>
              </w:rPr>
            </w:pPr>
            <w:r w:rsidRPr="00A406D7">
              <w:rPr>
                <w:rFonts w:eastAsiaTheme="minorEastAsia" w:cs="Times New Roman"/>
                <w:b/>
              </w:rPr>
              <w:t>Adjunctive Psychosocial Treatments (As Indicated)</w:t>
            </w:r>
          </w:p>
          <w:p w14:paraId="2A833187" w14:textId="77777777" w:rsidR="00615DDA" w:rsidRPr="00A406D7" w:rsidRDefault="00615DDA" w:rsidP="00615DDA">
            <w:pPr>
              <w:pStyle w:val="ListParagraph"/>
              <w:numPr>
                <w:ilvl w:val="0"/>
                <w:numId w:val="14"/>
              </w:numPr>
              <w:spacing w:after="0" w:line="240" w:lineRule="auto"/>
              <w:rPr>
                <w:rFonts w:cs="Times New Roman"/>
              </w:rPr>
            </w:pPr>
            <w:r w:rsidRPr="00A406D7">
              <w:rPr>
                <w:rFonts w:cs="Times New Roman"/>
              </w:rPr>
              <w:t>Individual and family psychoeducation</w:t>
            </w:r>
          </w:p>
          <w:p w14:paraId="060FDEE4" w14:textId="77777777" w:rsidR="00615DDA" w:rsidRPr="00A406D7" w:rsidRDefault="00615DDA" w:rsidP="00615DDA">
            <w:pPr>
              <w:pStyle w:val="ListParagraph"/>
              <w:numPr>
                <w:ilvl w:val="0"/>
                <w:numId w:val="14"/>
              </w:numPr>
              <w:spacing w:after="0" w:line="240" w:lineRule="auto"/>
              <w:rPr>
                <w:rFonts w:cs="Times New Roman"/>
              </w:rPr>
            </w:pPr>
            <w:r w:rsidRPr="00A406D7">
              <w:rPr>
                <w:rFonts w:cs="Times New Roman"/>
              </w:rPr>
              <w:t>Cognitive-behavioral therapy (CBT)</w:t>
            </w:r>
          </w:p>
          <w:p w14:paraId="29E671F3" w14:textId="77777777" w:rsidR="00615DDA" w:rsidRPr="00A406D7" w:rsidRDefault="00615DDA" w:rsidP="00615DDA">
            <w:pPr>
              <w:pStyle w:val="ListParagraph"/>
              <w:numPr>
                <w:ilvl w:val="0"/>
                <w:numId w:val="14"/>
              </w:numPr>
              <w:spacing w:after="0" w:line="240" w:lineRule="auto"/>
              <w:rPr>
                <w:rFonts w:cs="Times New Roman"/>
              </w:rPr>
            </w:pPr>
            <w:r w:rsidRPr="00A406D7">
              <w:rPr>
                <w:rFonts w:cs="Times New Roman"/>
              </w:rPr>
              <w:t>Interpersonal psychotherapy (IPT)</w:t>
            </w:r>
          </w:p>
          <w:p w14:paraId="08AE35B2" w14:textId="77777777" w:rsidR="00615DDA" w:rsidRPr="00A406D7" w:rsidRDefault="00615DDA" w:rsidP="00615DDA">
            <w:pPr>
              <w:pStyle w:val="ListParagraph"/>
              <w:numPr>
                <w:ilvl w:val="0"/>
                <w:numId w:val="14"/>
              </w:numPr>
              <w:spacing w:after="0" w:line="240" w:lineRule="auto"/>
              <w:rPr>
                <w:rFonts w:cs="Times New Roman"/>
              </w:rPr>
            </w:pPr>
            <w:r w:rsidRPr="00A406D7">
              <w:rPr>
                <w:rFonts w:cs="Times New Roman"/>
              </w:rPr>
              <w:t>Interpersonal and social rhythm therapy (IPSRT)</w:t>
            </w:r>
          </w:p>
          <w:p w14:paraId="1E4EACE8" w14:textId="77777777" w:rsidR="00615DDA" w:rsidRPr="00A406D7" w:rsidRDefault="00615DDA" w:rsidP="00615DDA">
            <w:pPr>
              <w:pStyle w:val="ListParagraph"/>
              <w:numPr>
                <w:ilvl w:val="0"/>
                <w:numId w:val="14"/>
              </w:numPr>
              <w:spacing w:after="0" w:line="240" w:lineRule="auto"/>
              <w:rPr>
                <w:rFonts w:cs="Times New Roman"/>
              </w:rPr>
            </w:pPr>
            <w:r w:rsidRPr="00A406D7">
              <w:rPr>
                <w:rFonts w:cs="Times New Roman"/>
              </w:rPr>
              <w:t>Family-focused therapy</w:t>
            </w:r>
          </w:p>
          <w:p w14:paraId="4B4BFF72" w14:textId="77777777" w:rsidR="00615DDA" w:rsidRPr="00A406D7" w:rsidRDefault="00615DDA" w:rsidP="00615DDA">
            <w:pPr>
              <w:pStyle w:val="ListParagraph"/>
              <w:numPr>
                <w:ilvl w:val="0"/>
                <w:numId w:val="14"/>
              </w:numPr>
              <w:spacing w:after="0" w:line="240" w:lineRule="auto"/>
              <w:rPr>
                <w:rFonts w:cs="Times New Roman"/>
              </w:rPr>
            </w:pPr>
            <w:r w:rsidRPr="00A406D7">
              <w:rPr>
                <w:rFonts w:cs="Times New Roman"/>
              </w:rPr>
              <w:t>Group psychoeducation (especially for bipolar disorder)</w:t>
            </w:r>
          </w:p>
          <w:p w14:paraId="3D9396F9" w14:textId="77777777" w:rsidR="00615DDA" w:rsidRPr="00A406D7" w:rsidRDefault="00615DDA" w:rsidP="00615DDA">
            <w:pPr>
              <w:pStyle w:val="ListParagraph"/>
              <w:numPr>
                <w:ilvl w:val="0"/>
                <w:numId w:val="14"/>
              </w:numPr>
              <w:spacing w:after="0" w:line="240" w:lineRule="auto"/>
              <w:rPr>
                <w:rFonts w:cs="Times New Roman"/>
              </w:rPr>
            </w:pPr>
            <w:r w:rsidRPr="00A406D7">
              <w:rPr>
                <w:rFonts w:cs="Times New Roman"/>
              </w:rPr>
              <w:t>Social skills training (especially in schizophrenia)</w:t>
            </w:r>
          </w:p>
          <w:p w14:paraId="6213B123" w14:textId="77777777" w:rsidR="00615DDA" w:rsidRPr="00A406D7" w:rsidRDefault="00615DDA" w:rsidP="00615DDA">
            <w:pPr>
              <w:pStyle w:val="ListParagraph"/>
              <w:numPr>
                <w:ilvl w:val="0"/>
                <w:numId w:val="14"/>
              </w:numPr>
              <w:spacing w:after="0" w:line="240" w:lineRule="auto"/>
              <w:rPr>
                <w:rFonts w:cs="Times New Roman"/>
              </w:rPr>
            </w:pPr>
            <w:r w:rsidRPr="00A406D7">
              <w:rPr>
                <w:rFonts w:cs="Times New Roman"/>
              </w:rPr>
              <w:t>Cognitive remediation/rehabilitation (to improve attention, memory, and/or executive function)</w:t>
            </w:r>
          </w:p>
          <w:p w14:paraId="287F6E06" w14:textId="77777777" w:rsidR="00615DDA" w:rsidRDefault="00615DDA" w:rsidP="00615DDA">
            <w:pPr>
              <w:ind w:left="432"/>
              <w:rPr>
                <w:rFonts w:eastAsiaTheme="minorEastAsia" w:cs="Times New Roman"/>
                <w:i/>
                <w:sz w:val="20"/>
                <w:szCs w:val="24"/>
              </w:rPr>
            </w:pPr>
            <w:r w:rsidRPr="00D23091">
              <w:rPr>
                <w:rFonts w:eastAsiaTheme="minorEastAsia" w:cs="Times New Roman"/>
                <w:i/>
                <w:sz w:val="20"/>
                <w:szCs w:val="24"/>
              </w:rPr>
              <w:t>*Note on pharmacogenomic testing - Limited data exists examining whether patient care that integrates pharmacogenomic test information results in better or safer treatment.</w:t>
            </w:r>
          </w:p>
          <w:p w14:paraId="3BAC9BA5" w14:textId="77777777" w:rsidR="00615DDA" w:rsidRDefault="00615DDA" w:rsidP="00615DDA">
            <w:pPr>
              <w:ind w:left="432"/>
              <w:rPr>
                <w:rFonts w:eastAsiaTheme="minorEastAsia" w:cs="Times New Roman"/>
                <w:i/>
                <w:sz w:val="20"/>
                <w:szCs w:val="24"/>
              </w:rPr>
            </w:pPr>
          </w:p>
          <w:p w14:paraId="67DBDD02" w14:textId="77777777" w:rsidR="00615DDA" w:rsidRPr="00A406D7" w:rsidRDefault="00615DDA" w:rsidP="00615DDA">
            <w:pPr>
              <w:ind w:left="432"/>
              <w:rPr>
                <w:rFonts w:eastAsiaTheme="minorEastAsia" w:cs="Times New Roman"/>
                <w:b/>
              </w:rPr>
            </w:pPr>
            <w:r w:rsidRPr="00A406D7">
              <w:rPr>
                <w:rFonts w:eastAsiaTheme="minorEastAsia" w:cs="Times New Roman"/>
                <w:b/>
              </w:rPr>
              <w:t>Measurement-Based Care</w:t>
            </w:r>
          </w:p>
          <w:p w14:paraId="78BA8E48" w14:textId="77777777" w:rsidR="00615DDA" w:rsidRPr="00A406D7" w:rsidRDefault="00615DDA" w:rsidP="00615DDA">
            <w:pPr>
              <w:ind w:left="432"/>
              <w:rPr>
                <w:rFonts w:eastAsiaTheme="minorEastAsia" w:cs="Times New Roman"/>
              </w:rPr>
            </w:pPr>
            <w:r w:rsidRPr="00A406D7">
              <w:rPr>
                <w:rFonts w:eastAsiaTheme="minorEastAsia" w:cs="Times New Roman"/>
              </w:rPr>
              <w:t xml:space="preserve">Questionnaires and rating scales are useful tools for diagnostic assessment and evaluation of treatment </w:t>
            </w:r>
            <w:r w:rsidRPr="00A406D7">
              <w:rPr>
                <w:rFonts w:eastAsiaTheme="minorEastAsia" w:cs="Times New Roman"/>
              </w:rPr>
              <w:lastRenderedPageBreak/>
              <w:t>outcomes, and such instruments can be helpful in providing supplemental information to clinical judgment. The integration of measurement scales into routine clinical practice is suggested for each of the conditions covered in this document. Clinicians should use rating scales to assess symptom severity during the initial evaluation/treatment, when medication changes are implemented, and/or when the patient reports a change in symptoms.</w:t>
            </w:r>
          </w:p>
          <w:p w14:paraId="27F16A53" w14:textId="77777777" w:rsidR="00615DDA" w:rsidRPr="00A406D7" w:rsidRDefault="00615DDA" w:rsidP="00615DDA">
            <w:pPr>
              <w:pStyle w:val="ListParagraph"/>
              <w:numPr>
                <w:ilvl w:val="0"/>
                <w:numId w:val="15"/>
              </w:numPr>
              <w:spacing w:after="0" w:line="240" w:lineRule="auto"/>
              <w:rPr>
                <w:rFonts w:cs="Times New Roman"/>
              </w:rPr>
            </w:pPr>
            <w:r w:rsidRPr="00A406D7">
              <w:rPr>
                <w:rFonts w:cs="Times New Roman"/>
              </w:rPr>
              <w:t>Treatment targets need to be precisely defined.</w:t>
            </w:r>
          </w:p>
          <w:p w14:paraId="7388C9E4" w14:textId="77777777" w:rsidR="00615DDA" w:rsidRPr="00A406D7" w:rsidRDefault="00615DDA" w:rsidP="00615DDA">
            <w:pPr>
              <w:pStyle w:val="ListParagraph"/>
              <w:numPr>
                <w:ilvl w:val="0"/>
                <w:numId w:val="15"/>
              </w:numPr>
              <w:spacing w:after="0" w:line="240" w:lineRule="auto"/>
              <w:rPr>
                <w:rFonts w:cs="Times New Roman"/>
              </w:rPr>
            </w:pPr>
            <w:r w:rsidRPr="00A406D7">
              <w:rPr>
                <w:rFonts w:cs="Times New Roman"/>
              </w:rPr>
              <w:t>Effectiveness and safety/tolerability of the medication treatment must be systematically assessed by methodical use of appropriate rating scales and side-effect assessment protocols.</w:t>
            </w:r>
          </w:p>
          <w:p w14:paraId="61B62491" w14:textId="77777777" w:rsidR="00615DDA" w:rsidRPr="00A406D7" w:rsidRDefault="00615DDA" w:rsidP="00615DDA">
            <w:pPr>
              <w:pStyle w:val="ListParagraph"/>
              <w:numPr>
                <w:ilvl w:val="0"/>
                <w:numId w:val="15"/>
              </w:numPr>
              <w:spacing w:after="0" w:line="240" w:lineRule="auto"/>
              <w:rPr>
                <w:rFonts w:cs="Times New Roman"/>
              </w:rPr>
            </w:pPr>
            <w:r w:rsidRPr="00A406D7">
              <w:rPr>
                <w:rFonts w:cs="Times New Roman"/>
              </w:rPr>
              <w:t>Internet links to the following scales are available on the program website -www.medicaidmentalhealth.org</w:t>
            </w:r>
          </w:p>
          <w:p w14:paraId="23A5A884" w14:textId="77777777" w:rsidR="00615DDA" w:rsidRPr="00A406D7" w:rsidRDefault="00615DDA" w:rsidP="00615DDA">
            <w:pPr>
              <w:pStyle w:val="ListParagraph"/>
              <w:numPr>
                <w:ilvl w:val="1"/>
                <w:numId w:val="15"/>
              </w:numPr>
              <w:spacing w:after="0" w:line="240" w:lineRule="auto"/>
              <w:rPr>
                <w:rFonts w:cs="Times New Roman"/>
              </w:rPr>
            </w:pPr>
            <w:r w:rsidRPr="00A406D7">
              <w:rPr>
                <w:rFonts w:cs="Times New Roman"/>
              </w:rPr>
              <w:t>Beck Depression Inventory (BDI)</w:t>
            </w:r>
          </w:p>
          <w:p w14:paraId="253EA1A0" w14:textId="77777777" w:rsidR="00615DDA" w:rsidRPr="00A406D7" w:rsidRDefault="00615DDA" w:rsidP="00615DDA">
            <w:pPr>
              <w:pStyle w:val="ListParagraph"/>
              <w:numPr>
                <w:ilvl w:val="1"/>
                <w:numId w:val="15"/>
              </w:numPr>
              <w:spacing w:after="0" w:line="240" w:lineRule="auto"/>
              <w:rPr>
                <w:rFonts w:cs="Times New Roman"/>
              </w:rPr>
            </w:pPr>
            <w:r w:rsidRPr="00A406D7">
              <w:rPr>
                <w:rFonts w:cs="Times New Roman"/>
              </w:rPr>
              <w:t>Brief Psychiatric Rating Scale (BPRS)</w:t>
            </w:r>
          </w:p>
          <w:p w14:paraId="6ECB5083" w14:textId="77777777" w:rsidR="00615DDA" w:rsidRPr="00A406D7" w:rsidRDefault="00615DDA" w:rsidP="00615DDA">
            <w:pPr>
              <w:pStyle w:val="ListParagraph"/>
              <w:numPr>
                <w:ilvl w:val="1"/>
                <w:numId w:val="15"/>
              </w:numPr>
              <w:spacing w:after="0" w:line="240" w:lineRule="auto"/>
              <w:rPr>
                <w:rFonts w:cs="Times New Roman"/>
              </w:rPr>
            </w:pPr>
            <w:r w:rsidRPr="00A406D7">
              <w:rPr>
                <w:rFonts w:cs="Times New Roman"/>
              </w:rPr>
              <w:t>Clinical Global Impression (CGI) Scale</w:t>
            </w:r>
          </w:p>
          <w:p w14:paraId="08DCA62F" w14:textId="77777777" w:rsidR="00615DDA" w:rsidRPr="00A406D7" w:rsidRDefault="00615DDA" w:rsidP="00615DDA">
            <w:pPr>
              <w:pStyle w:val="ListParagraph"/>
              <w:numPr>
                <w:ilvl w:val="1"/>
                <w:numId w:val="15"/>
              </w:numPr>
              <w:spacing w:after="0" w:line="240" w:lineRule="auto"/>
              <w:rPr>
                <w:rFonts w:cs="Times New Roman"/>
              </w:rPr>
            </w:pPr>
            <w:r w:rsidRPr="00A406D7">
              <w:rPr>
                <w:rFonts w:cs="Times New Roman"/>
              </w:rPr>
              <w:t>Clinician-Rated Dimensions of Psychosis Symptom Severity (CRDPSS)</w:t>
            </w:r>
          </w:p>
          <w:p w14:paraId="13DFFE77" w14:textId="77777777" w:rsidR="00615DDA" w:rsidRPr="00A406D7" w:rsidRDefault="00615DDA" w:rsidP="00615DDA">
            <w:pPr>
              <w:pStyle w:val="ListParagraph"/>
              <w:numPr>
                <w:ilvl w:val="1"/>
                <w:numId w:val="15"/>
              </w:numPr>
              <w:spacing w:after="0" w:line="240" w:lineRule="auto"/>
              <w:rPr>
                <w:rFonts w:cs="Times New Roman"/>
              </w:rPr>
            </w:pPr>
            <w:r w:rsidRPr="00A406D7">
              <w:rPr>
                <w:rFonts w:cs="Times New Roman"/>
              </w:rPr>
              <w:t>Hamilton Rating Scale for Depression (HAM-D)</w:t>
            </w:r>
          </w:p>
          <w:p w14:paraId="1331E736" w14:textId="77777777" w:rsidR="00615DDA" w:rsidRPr="00A406D7" w:rsidRDefault="00615DDA" w:rsidP="00615DDA">
            <w:pPr>
              <w:pStyle w:val="ListParagraph"/>
              <w:numPr>
                <w:ilvl w:val="1"/>
                <w:numId w:val="15"/>
              </w:numPr>
              <w:spacing w:after="0" w:line="240" w:lineRule="auto"/>
              <w:rPr>
                <w:rFonts w:cs="Times New Roman"/>
              </w:rPr>
            </w:pPr>
            <w:r w:rsidRPr="00A406D7">
              <w:rPr>
                <w:rFonts w:cs="Times New Roman"/>
              </w:rPr>
              <w:t>Montgomery-Asberg Depression Rating Scale (MADRS)</w:t>
            </w:r>
          </w:p>
          <w:p w14:paraId="7C7FBD22" w14:textId="77777777" w:rsidR="00615DDA" w:rsidRPr="00A406D7" w:rsidRDefault="00615DDA" w:rsidP="00615DDA">
            <w:pPr>
              <w:pStyle w:val="ListParagraph"/>
              <w:numPr>
                <w:ilvl w:val="1"/>
                <w:numId w:val="15"/>
              </w:numPr>
              <w:spacing w:after="0" w:line="240" w:lineRule="auto"/>
              <w:rPr>
                <w:rFonts w:cs="Times New Roman"/>
              </w:rPr>
            </w:pPr>
            <w:r w:rsidRPr="00A406D7">
              <w:rPr>
                <w:rFonts w:cs="Times New Roman"/>
              </w:rPr>
              <w:t>Patient Health Questionnaire (PHQ-9)</w:t>
            </w:r>
          </w:p>
          <w:p w14:paraId="4B87BC3C" w14:textId="77777777" w:rsidR="00615DDA" w:rsidRPr="00A406D7" w:rsidRDefault="00615DDA" w:rsidP="00615DDA">
            <w:pPr>
              <w:pStyle w:val="ListParagraph"/>
              <w:numPr>
                <w:ilvl w:val="1"/>
                <w:numId w:val="15"/>
              </w:numPr>
              <w:spacing w:after="0" w:line="240" w:lineRule="auto"/>
              <w:rPr>
                <w:rFonts w:cs="Times New Roman"/>
              </w:rPr>
            </w:pPr>
            <w:r w:rsidRPr="00A406D7">
              <w:rPr>
                <w:rFonts w:cs="Times New Roman"/>
              </w:rPr>
              <w:t>Positive and Negative Syndrome Scale (PANSS)</w:t>
            </w:r>
          </w:p>
          <w:p w14:paraId="314D1F71" w14:textId="77777777" w:rsidR="00615DDA" w:rsidRPr="00A406D7" w:rsidRDefault="00615DDA" w:rsidP="00615DDA">
            <w:pPr>
              <w:pStyle w:val="ListParagraph"/>
              <w:numPr>
                <w:ilvl w:val="1"/>
                <w:numId w:val="15"/>
              </w:numPr>
              <w:spacing w:after="0" w:line="240" w:lineRule="auto"/>
              <w:rPr>
                <w:rFonts w:cs="Times New Roman"/>
              </w:rPr>
            </w:pPr>
            <w:r w:rsidRPr="00A406D7">
              <w:rPr>
                <w:rFonts w:cs="Times New Roman"/>
              </w:rPr>
              <w:t>Quick Inventory of Depression Symptomatology (QIDS)</w:t>
            </w:r>
          </w:p>
          <w:p w14:paraId="76BBFD20" w14:textId="77777777" w:rsidR="00615DDA" w:rsidRPr="00A406D7" w:rsidRDefault="00615DDA" w:rsidP="00615DDA">
            <w:pPr>
              <w:pStyle w:val="ListParagraph"/>
              <w:numPr>
                <w:ilvl w:val="1"/>
                <w:numId w:val="15"/>
              </w:numPr>
              <w:spacing w:after="0" w:line="240" w:lineRule="auto"/>
              <w:rPr>
                <w:rFonts w:cs="Times New Roman"/>
              </w:rPr>
            </w:pPr>
            <w:r w:rsidRPr="00A406D7">
              <w:rPr>
                <w:rFonts w:cs="Times New Roman"/>
              </w:rPr>
              <w:t>Young Mania Rating Scale (YMRS)</w:t>
            </w:r>
          </w:p>
          <w:p w14:paraId="77C86FF7" w14:textId="77777777" w:rsidR="007B17EA" w:rsidRDefault="007B17EA" w:rsidP="00E9034C">
            <w:pPr>
              <w:ind w:left="0" w:firstLine="0"/>
            </w:pPr>
          </w:p>
        </w:tc>
      </w:tr>
      <w:tr w:rsidR="007B17EA" w14:paraId="1F36F631" w14:textId="77777777" w:rsidTr="00615DDA">
        <w:tc>
          <w:tcPr>
            <w:tcW w:w="4045" w:type="dxa"/>
          </w:tcPr>
          <w:p w14:paraId="40E357C7" w14:textId="77777777" w:rsidR="007B17EA" w:rsidRDefault="007B17EA" w:rsidP="00E9034C">
            <w:pPr>
              <w:ind w:left="0" w:firstLine="0"/>
            </w:pPr>
            <w:r>
              <w:lastRenderedPageBreak/>
              <w:t xml:space="preserve">Grade assigned to the </w:t>
            </w:r>
            <w:r w:rsidRPr="004E7215">
              <w:rPr>
                <w:b/>
              </w:rPr>
              <w:t>evidence</w:t>
            </w:r>
            <w:r>
              <w:t xml:space="preserve"> associated with the recommendation with the definition of the grade</w:t>
            </w:r>
          </w:p>
        </w:tc>
        <w:tc>
          <w:tcPr>
            <w:tcW w:w="5305" w:type="dxa"/>
          </w:tcPr>
          <w:p w14:paraId="6CAB41F6" w14:textId="77777777" w:rsidR="007B17EA" w:rsidRPr="007B17EA" w:rsidRDefault="007B17EA" w:rsidP="00E9034C">
            <w:pPr>
              <w:ind w:left="0" w:firstLine="0"/>
            </w:pPr>
            <w:r>
              <w:t>The guideline did not assign</w:t>
            </w:r>
            <w:r w:rsidRPr="007B17EA">
              <w:t xml:space="preserve"> a grade to the quality of the quoted evidence.</w:t>
            </w:r>
          </w:p>
          <w:p w14:paraId="010E5DF3" w14:textId="77777777" w:rsidR="007B17EA" w:rsidRDefault="007B17EA" w:rsidP="00E9034C">
            <w:pPr>
              <w:ind w:left="0" w:firstLine="0"/>
            </w:pPr>
          </w:p>
        </w:tc>
      </w:tr>
      <w:tr w:rsidR="007B17EA" w14:paraId="3CBB4B4A" w14:textId="77777777" w:rsidTr="00615DDA">
        <w:tc>
          <w:tcPr>
            <w:tcW w:w="4045" w:type="dxa"/>
          </w:tcPr>
          <w:p w14:paraId="1A8F7126" w14:textId="77777777" w:rsidR="007B17EA" w:rsidRDefault="007B17EA" w:rsidP="00E9034C">
            <w:pPr>
              <w:ind w:left="0" w:firstLine="0"/>
            </w:pPr>
            <w:r>
              <w:t>Provide all other grades and definitions from the evidence grading system</w:t>
            </w:r>
          </w:p>
        </w:tc>
        <w:tc>
          <w:tcPr>
            <w:tcW w:w="5305" w:type="dxa"/>
          </w:tcPr>
          <w:p w14:paraId="0BF47864" w14:textId="77777777" w:rsidR="007B17EA" w:rsidRDefault="007B17EA" w:rsidP="00E9034C">
            <w:pPr>
              <w:ind w:left="0" w:firstLine="0"/>
            </w:pPr>
            <w:r>
              <w:t xml:space="preserve">None. </w:t>
            </w:r>
          </w:p>
        </w:tc>
      </w:tr>
      <w:tr w:rsidR="007B17EA" w14:paraId="2B38237C" w14:textId="77777777" w:rsidTr="00615DDA">
        <w:tc>
          <w:tcPr>
            <w:tcW w:w="4045" w:type="dxa"/>
          </w:tcPr>
          <w:p w14:paraId="7844257E" w14:textId="77777777" w:rsidR="007B17EA" w:rsidRDefault="007B17EA" w:rsidP="00E9034C">
            <w:pPr>
              <w:ind w:left="0" w:firstLine="0"/>
            </w:pPr>
            <w:r>
              <w:t xml:space="preserve">Grade assigned to the </w:t>
            </w:r>
            <w:r w:rsidRPr="004E7215">
              <w:rPr>
                <w:b/>
              </w:rPr>
              <w:t>recommendation</w:t>
            </w:r>
            <w:r>
              <w:t xml:space="preserve"> with definition of the grade</w:t>
            </w:r>
          </w:p>
        </w:tc>
        <w:tc>
          <w:tcPr>
            <w:tcW w:w="5305" w:type="dxa"/>
          </w:tcPr>
          <w:p w14:paraId="695F3F91" w14:textId="77777777" w:rsidR="007B17EA" w:rsidRPr="007B17EA" w:rsidRDefault="007B17EA" w:rsidP="00E9034C">
            <w:pPr>
              <w:ind w:left="0" w:firstLine="0"/>
            </w:pPr>
            <w:r w:rsidRPr="007B17EA">
              <w:t>The guideline did not provide a grade for the cited recommendations.</w:t>
            </w:r>
          </w:p>
          <w:p w14:paraId="061693FE" w14:textId="77777777" w:rsidR="007B17EA" w:rsidRDefault="007B17EA" w:rsidP="00E9034C">
            <w:pPr>
              <w:ind w:left="0" w:firstLine="0"/>
            </w:pPr>
          </w:p>
        </w:tc>
      </w:tr>
      <w:tr w:rsidR="007B17EA" w14:paraId="0C01ADAF" w14:textId="77777777" w:rsidTr="00615DDA">
        <w:tc>
          <w:tcPr>
            <w:tcW w:w="4045" w:type="dxa"/>
          </w:tcPr>
          <w:p w14:paraId="23B605F8" w14:textId="77777777" w:rsidR="007B17EA" w:rsidRDefault="007B17EA" w:rsidP="00E9034C">
            <w:pPr>
              <w:ind w:left="0" w:firstLine="0"/>
            </w:pPr>
            <w:r>
              <w:lastRenderedPageBreak/>
              <w:t>Provide all other grades and definitions from the recommendation grading system</w:t>
            </w:r>
          </w:p>
        </w:tc>
        <w:tc>
          <w:tcPr>
            <w:tcW w:w="5305" w:type="dxa"/>
          </w:tcPr>
          <w:p w14:paraId="190FBE3B" w14:textId="77777777" w:rsidR="007B17EA" w:rsidRDefault="007B17EA" w:rsidP="00E9034C">
            <w:pPr>
              <w:ind w:left="0" w:firstLine="0"/>
            </w:pPr>
            <w:r>
              <w:t xml:space="preserve">None. </w:t>
            </w:r>
          </w:p>
        </w:tc>
      </w:tr>
      <w:tr w:rsidR="007B17EA" w14:paraId="61FC94C8" w14:textId="77777777" w:rsidTr="00615DDA">
        <w:trPr>
          <w:trHeight w:val="2483"/>
        </w:trPr>
        <w:tc>
          <w:tcPr>
            <w:tcW w:w="4045" w:type="dxa"/>
          </w:tcPr>
          <w:p w14:paraId="3770DAA8" w14:textId="77777777" w:rsidR="007B17EA" w:rsidRDefault="007B17EA" w:rsidP="00E9034C">
            <w:pPr>
              <w:ind w:left="0" w:firstLine="0"/>
            </w:pPr>
            <w:r>
              <w:t>Body of evidence:</w:t>
            </w:r>
          </w:p>
          <w:p w14:paraId="7F812ED4" w14:textId="77777777" w:rsidR="007B17EA" w:rsidRDefault="007B17EA" w:rsidP="00E9034C">
            <w:pPr>
              <w:pStyle w:val="ListParagraph"/>
              <w:numPr>
                <w:ilvl w:val="0"/>
                <w:numId w:val="10"/>
              </w:numPr>
            </w:pPr>
            <w:r>
              <w:t>Quantity – how many studies?</w:t>
            </w:r>
          </w:p>
          <w:p w14:paraId="19EE6604" w14:textId="77777777" w:rsidR="007B17EA" w:rsidRDefault="007B17EA" w:rsidP="00E9034C">
            <w:pPr>
              <w:pStyle w:val="ListParagraph"/>
              <w:numPr>
                <w:ilvl w:val="0"/>
                <w:numId w:val="10"/>
              </w:numPr>
            </w:pPr>
            <w:r>
              <w:t>Quality – what type of studies?</w:t>
            </w:r>
          </w:p>
        </w:tc>
        <w:tc>
          <w:tcPr>
            <w:tcW w:w="5305" w:type="dxa"/>
          </w:tcPr>
          <w:p w14:paraId="5E92844D" w14:textId="77777777" w:rsidR="003D2B76" w:rsidRPr="003D2B76" w:rsidRDefault="003D2B76" w:rsidP="003D2B76">
            <w:pPr>
              <w:ind w:left="0" w:firstLine="0"/>
            </w:pPr>
            <w:r w:rsidRPr="003D2B76">
              <w:t>The guideline was developed using a consensus-based approach. While evidence was reviewed as part of the development process for these guidelines, the details of the evidence review were not provided.</w:t>
            </w:r>
          </w:p>
          <w:p w14:paraId="69CC699D" w14:textId="77777777" w:rsidR="007B17EA" w:rsidRDefault="007B17EA" w:rsidP="00E9034C">
            <w:pPr>
              <w:ind w:left="0" w:firstLine="0"/>
            </w:pPr>
          </w:p>
        </w:tc>
      </w:tr>
      <w:tr w:rsidR="007B17EA" w14:paraId="70A53153" w14:textId="77777777" w:rsidTr="00615DDA">
        <w:tc>
          <w:tcPr>
            <w:tcW w:w="4045" w:type="dxa"/>
          </w:tcPr>
          <w:p w14:paraId="31E4BA50" w14:textId="77777777" w:rsidR="007B17EA" w:rsidRDefault="007B17EA" w:rsidP="00E9034C">
            <w:pPr>
              <w:ind w:left="0" w:firstLine="0"/>
            </w:pPr>
            <w:r>
              <w:t xml:space="preserve">Estimates of benefit and consistency across studies </w:t>
            </w:r>
          </w:p>
        </w:tc>
        <w:tc>
          <w:tcPr>
            <w:tcW w:w="5305" w:type="dxa"/>
          </w:tcPr>
          <w:p w14:paraId="7A9525EA" w14:textId="77777777" w:rsidR="001133AF" w:rsidRPr="001133AF" w:rsidRDefault="001133AF" w:rsidP="001133AF">
            <w:pPr>
              <w:ind w:left="0" w:firstLine="0"/>
            </w:pPr>
            <w:r w:rsidRPr="001133AF">
              <w:t>The guideline was developed using a consensus-based approach involving a group of stakeholders and experts in the field. While the consensus-based approach was supplemented with a review of the evidence as part of the development of each guideline, details of the consistency of the reviewed evidence were not provided.</w:t>
            </w:r>
          </w:p>
          <w:p w14:paraId="46DC70C0" w14:textId="77777777" w:rsidR="001133AF" w:rsidRPr="001133AF" w:rsidRDefault="001133AF" w:rsidP="001133AF">
            <w:pPr>
              <w:ind w:left="0" w:firstLine="0"/>
            </w:pPr>
          </w:p>
          <w:p w14:paraId="2ECC59FE" w14:textId="651C89ED" w:rsidR="007B17EA" w:rsidRDefault="001E7459" w:rsidP="001133AF">
            <w:pPr>
              <w:ind w:left="0" w:firstLine="0"/>
            </w:pPr>
            <w:r>
              <w:t>The guideline does not</w:t>
            </w:r>
            <w:r w:rsidR="001133AF" w:rsidRPr="001133AF">
              <w:t xml:space="preserve"> provide a quantitative estimate of benefit for follow-up care for patients prescribed antipsychotic medications. However, there is consensus among the guidelines that close follow-up monitoring is an essential standard of care for patients prescribed antipsychotic medications to ensure effectiveness of treatment and to mitigate any adverse consequences or reactions to the drugs.</w:t>
            </w:r>
          </w:p>
        </w:tc>
      </w:tr>
      <w:tr w:rsidR="007B17EA" w14:paraId="24C9399A" w14:textId="77777777" w:rsidTr="00615DDA">
        <w:tc>
          <w:tcPr>
            <w:tcW w:w="4045" w:type="dxa"/>
          </w:tcPr>
          <w:p w14:paraId="0C622502" w14:textId="77777777" w:rsidR="007B17EA" w:rsidRDefault="007B17EA" w:rsidP="00E9034C">
            <w:pPr>
              <w:ind w:left="0" w:firstLine="0"/>
            </w:pPr>
            <w:r>
              <w:t>What harms were identified?</w:t>
            </w:r>
          </w:p>
        </w:tc>
        <w:tc>
          <w:tcPr>
            <w:tcW w:w="5305" w:type="dxa"/>
          </w:tcPr>
          <w:p w14:paraId="5C3F4D7B" w14:textId="0511269D" w:rsidR="001E7459" w:rsidRPr="001E7459" w:rsidRDefault="001E7459" w:rsidP="001E7459">
            <w:pPr>
              <w:ind w:left="0" w:firstLine="0"/>
            </w:pPr>
            <w:r w:rsidRPr="001E7459">
              <w:t xml:space="preserve">While the guideline does not give a formal description or estimate of harms, we anticipate the expected benefits of follow-up care to far outweigh any potential harms because ongoing monitoring and follow-up is a basic standard of care for patients taking antipsychotic medications. </w:t>
            </w:r>
          </w:p>
          <w:p w14:paraId="2C3267EA" w14:textId="77777777" w:rsidR="007B17EA" w:rsidRDefault="007B17EA" w:rsidP="00E9034C">
            <w:pPr>
              <w:ind w:left="0" w:firstLine="0"/>
            </w:pPr>
          </w:p>
        </w:tc>
      </w:tr>
      <w:tr w:rsidR="007B17EA" w14:paraId="6BA65465" w14:textId="77777777" w:rsidTr="00615DDA">
        <w:tc>
          <w:tcPr>
            <w:tcW w:w="4045" w:type="dxa"/>
          </w:tcPr>
          <w:p w14:paraId="56B38842" w14:textId="77777777" w:rsidR="007B17EA" w:rsidRDefault="007B17EA" w:rsidP="00E9034C">
            <w:pPr>
              <w:ind w:left="0" w:firstLine="0"/>
            </w:pPr>
            <w:r>
              <w:t>Identify any new studies conducted since the SR. Do the new studies change the conclusions from the SR?</w:t>
            </w:r>
          </w:p>
        </w:tc>
        <w:tc>
          <w:tcPr>
            <w:tcW w:w="5305" w:type="dxa"/>
          </w:tcPr>
          <w:p w14:paraId="407F3879" w14:textId="454FBC62" w:rsidR="007B17EA" w:rsidRDefault="001E7459" w:rsidP="00E9034C">
            <w:pPr>
              <w:ind w:left="0" w:firstLine="0"/>
            </w:pPr>
            <w:r w:rsidRPr="001E7459">
              <w:t xml:space="preserve">We did not identify any new studies since the clinical guideline was published that change the conclusion in the recommendation.  </w:t>
            </w:r>
          </w:p>
        </w:tc>
      </w:tr>
    </w:tbl>
    <w:p w14:paraId="1871B744" w14:textId="77777777" w:rsidR="007B17EA" w:rsidRDefault="007B17EA" w:rsidP="007B17EA">
      <w:pPr>
        <w:ind w:left="432"/>
        <w:rPr>
          <w:rFonts w:eastAsiaTheme="minorEastAsia" w:cs="Times New Roman"/>
          <w:b/>
        </w:rPr>
      </w:pPr>
    </w:p>
    <w:p w14:paraId="6509E2F2" w14:textId="091AA9A4" w:rsidR="007B17EA" w:rsidRPr="007B17EA" w:rsidRDefault="007B17EA" w:rsidP="007B17EA">
      <w:pPr>
        <w:ind w:left="432"/>
        <w:rPr>
          <w:rFonts w:eastAsiaTheme="minorEastAsia" w:cs="Times New Roman"/>
          <w:b/>
        </w:rPr>
      </w:pPr>
      <w:r w:rsidRPr="007B17EA">
        <w:rPr>
          <w:rFonts w:eastAsiaTheme="minorEastAsia" w:cs="Times New Roman"/>
          <w:b/>
        </w:rPr>
        <w:t xml:space="preserve">Table 4. </w:t>
      </w:r>
    </w:p>
    <w:tbl>
      <w:tblPr>
        <w:tblStyle w:val="TableGrid"/>
        <w:tblW w:w="0" w:type="auto"/>
        <w:tblLayout w:type="fixed"/>
        <w:tblLook w:val="04A0" w:firstRow="1" w:lastRow="0" w:firstColumn="1" w:lastColumn="0" w:noHBand="0" w:noVBand="1"/>
      </w:tblPr>
      <w:tblGrid>
        <w:gridCol w:w="4045"/>
        <w:gridCol w:w="5305"/>
      </w:tblGrid>
      <w:tr w:rsidR="007B17EA" w14:paraId="1289F085" w14:textId="77777777" w:rsidTr="00615DDA">
        <w:tc>
          <w:tcPr>
            <w:tcW w:w="4045" w:type="dxa"/>
          </w:tcPr>
          <w:p w14:paraId="3AF7E7E6" w14:textId="77777777" w:rsidR="007B17EA" w:rsidRPr="00AB4ECE" w:rsidRDefault="007B17EA" w:rsidP="00E9034C">
            <w:pPr>
              <w:ind w:left="0" w:firstLine="0"/>
              <w:rPr>
                <w:b/>
              </w:rPr>
            </w:pPr>
            <w:r w:rsidRPr="00AB4ECE">
              <w:rPr>
                <w:b/>
              </w:rPr>
              <w:t>Source of Systematic Review:</w:t>
            </w:r>
          </w:p>
          <w:p w14:paraId="538835CD" w14:textId="77777777" w:rsidR="007B17EA" w:rsidRPr="00AB4ECE" w:rsidRDefault="007B17EA" w:rsidP="00E9034C">
            <w:pPr>
              <w:pStyle w:val="ListParagraph"/>
              <w:numPr>
                <w:ilvl w:val="0"/>
                <w:numId w:val="9"/>
              </w:numPr>
              <w:rPr>
                <w:b/>
              </w:rPr>
            </w:pPr>
            <w:r w:rsidRPr="00AB4ECE">
              <w:rPr>
                <w:b/>
              </w:rPr>
              <w:t>Title</w:t>
            </w:r>
          </w:p>
          <w:p w14:paraId="2B84CBBF" w14:textId="77777777" w:rsidR="007B17EA" w:rsidRPr="00AB4ECE" w:rsidRDefault="007B17EA" w:rsidP="00E9034C">
            <w:pPr>
              <w:pStyle w:val="ListParagraph"/>
              <w:numPr>
                <w:ilvl w:val="0"/>
                <w:numId w:val="9"/>
              </w:numPr>
              <w:rPr>
                <w:b/>
              </w:rPr>
            </w:pPr>
            <w:r w:rsidRPr="00AB4ECE">
              <w:rPr>
                <w:b/>
              </w:rPr>
              <w:t>Author</w:t>
            </w:r>
          </w:p>
          <w:p w14:paraId="208922CC" w14:textId="77777777" w:rsidR="007B17EA" w:rsidRPr="00AB4ECE" w:rsidRDefault="007B17EA" w:rsidP="00E9034C">
            <w:pPr>
              <w:pStyle w:val="ListParagraph"/>
              <w:numPr>
                <w:ilvl w:val="0"/>
                <w:numId w:val="9"/>
              </w:numPr>
              <w:rPr>
                <w:b/>
              </w:rPr>
            </w:pPr>
            <w:r w:rsidRPr="00AB4ECE">
              <w:rPr>
                <w:b/>
              </w:rPr>
              <w:t>Date</w:t>
            </w:r>
          </w:p>
          <w:p w14:paraId="4808BFBB" w14:textId="77777777" w:rsidR="007B17EA" w:rsidRPr="00AB4ECE" w:rsidRDefault="007B17EA" w:rsidP="00E9034C">
            <w:pPr>
              <w:pStyle w:val="ListParagraph"/>
              <w:numPr>
                <w:ilvl w:val="0"/>
                <w:numId w:val="9"/>
              </w:numPr>
              <w:rPr>
                <w:b/>
              </w:rPr>
            </w:pPr>
            <w:r w:rsidRPr="00AB4ECE">
              <w:rPr>
                <w:b/>
              </w:rPr>
              <w:t>Citation, including page number</w:t>
            </w:r>
          </w:p>
          <w:p w14:paraId="12B037B0" w14:textId="77777777" w:rsidR="007B17EA" w:rsidRPr="00AB4ECE" w:rsidRDefault="007B17EA" w:rsidP="00E9034C">
            <w:pPr>
              <w:pStyle w:val="ListParagraph"/>
              <w:numPr>
                <w:ilvl w:val="0"/>
                <w:numId w:val="9"/>
              </w:numPr>
              <w:rPr>
                <w:b/>
              </w:rPr>
            </w:pPr>
            <w:r w:rsidRPr="00AB4ECE">
              <w:rPr>
                <w:b/>
              </w:rPr>
              <w:t>URL</w:t>
            </w:r>
          </w:p>
        </w:tc>
        <w:tc>
          <w:tcPr>
            <w:tcW w:w="5305" w:type="dxa"/>
          </w:tcPr>
          <w:p w14:paraId="12A80CE5" w14:textId="53B641CF" w:rsidR="00615DDA" w:rsidRPr="00615DDA" w:rsidRDefault="00615DDA" w:rsidP="00615DDA">
            <w:pPr>
              <w:ind w:left="0" w:firstLine="0"/>
            </w:pPr>
            <w:r w:rsidRPr="00615DDA">
              <w:t>University of South Florida College of Behavioral and Community Sciences.</w:t>
            </w:r>
            <w:r w:rsidRPr="00615DDA">
              <w:rPr>
                <w:i/>
              </w:rPr>
              <w:t xml:space="preserve"> </w:t>
            </w:r>
            <w:r>
              <w:t>“</w:t>
            </w:r>
            <w:r w:rsidRPr="00615DDA">
              <w:t>A Summary for Monitoring Physical Health and Side-Effects of Psychiatric Medications in the Severely Mentally Ill Population.</w:t>
            </w:r>
            <w:r>
              <w:t>”</w:t>
            </w:r>
            <w:r w:rsidRPr="00615DDA">
              <w:t xml:space="preserve"> The University of South Florida, Florida Medicaid Drug Therapy Management Program for Behavioral Health sponsored by the Florida Agency for Health Care Administration</w:t>
            </w:r>
            <w:r>
              <w:t>, March 2014</w:t>
            </w:r>
            <w:r w:rsidRPr="00615DDA">
              <w:t xml:space="preserve">. Available at: </w:t>
            </w:r>
            <w:hyperlink r:id="rId20" w:history="1">
              <w:r w:rsidRPr="00615DDA">
                <w:rPr>
                  <w:rStyle w:val="Hyperlink"/>
                </w:rPr>
                <w:t>http://medicaidmentalhealth.org/_assets/file/Summaries/2014_Monitoring%20Physical%20Health%20and%20Side-Effects%20of%20Psychiatric%20Medicati....pdf</w:t>
              </w:r>
            </w:hyperlink>
          </w:p>
          <w:p w14:paraId="0D550ABF" w14:textId="77777777" w:rsidR="007B17EA" w:rsidRPr="003939C2" w:rsidRDefault="007B17EA" w:rsidP="00E9034C">
            <w:pPr>
              <w:ind w:left="0" w:firstLine="0"/>
            </w:pPr>
          </w:p>
        </w:tc>
      </w:tr>
      <w:tr w:rsidR="007B17EA" w14:paraId="69088027" w14:textId="77777777" w:rsidTr="00615DDA">
        <w:tc>
          <w:tcPr>
            <w:tcW w:w="4045" w:type="dxa"/>
          </w:tcPr>
          <w:p w14:paraId="50DCDB75" w14:textId="77777777" w:rsidR="007B17EA" w:rsidRDefault="007B17EA" w:rsidP="00E9034C">
            <w:pPr>
              <w:ind w:left="0" w:firstLine="0"/>
            </w:pPr>
            <w:r>
              <w:lastRenderedPageBreak/>
              <w:t>Quote the guideline or recommendation verbatim about the process, structure or intermediate outcome being measured. If not a guideline, summarize the conclusions from the SR.</w:t>
            </w:r>
          </w:p>
        </w:tc>
        <w:tc>
          <w:tcPr>
            <w:tcW w:w="5305" w:type="dxa"/>
          </w:tcPr>
          <w:p w14:paraId="43DBF9BC" w14:textId="7C2D3A5E" w:rsidR="007B17EA" w:rsidRDefault="005C53C5" w:rsidP="00E9034C">
            <w:pPr>
              <w:ind w:left="0" w:firstLine="0"/>
            </w:pPr>
            <w:r>
              <w:t xml:space="preserve">See Table 12 below. </w:t>
            </w:r>
          </w:p>
        </w:tc>
      </w:tr>
      <w:tr w:rsidR="007B17EA" w14:paraId="43C44912" w14:textId="77777777" w:rsidTr="00615DDA">
        <w:tc>
          <w:tcPr>
            <w:tcW w:w="4045" w:type="dxa"/>
          </w:tcPr>
          <w:p w14:paraId="062956BA" w14:textId="77777777" w:rsidR="007B17EA" w:rsidRDefault="007B17EA" w:rsidP="00E9034C">
            <w:pPr>
              <w:ind w:left="0" w:firstLine="0"/>
            </w:pPr>
            <w:r>
              <w:t xml:space="preserve">Grade assigned to the </w:t>
            </w:r>
            <w:r w:rsidRPr="004E7215">
              <w:rPr>
                <w:b/>
              </w:rPr>
              <w:t>evidence</w:t>
            </w:r>
            <w:r>
              <w:t xml:space="preserve"> associated with the recommendation with the definition of the grade</w:t>
            </w:r>
          </w:p>
        </w:tc>
        <w:tc>
          <w:tcPr>
            <w:tcW w:w="5305" w:type="dxa"/>
          </w:tcPr>
          <w:p w14:paraId="7AF0C907" w14:textId="77777777" w:rsidR="007B17EA" w:rsidRPr="007B17EA" w:rsidRDefault="007B17EA" w:rsidP="00E9034C">
            <w:pPr>
              <w:ind w:left="0" w:firstLine="0"/>
            </w:pPr>
            <w:r>
              <w:t>The guideline did not assign</w:t>
            </w:r>
            <w:r w:rsidRPr="007B17EA">
              <w:t xml:space="preserve"> a grade to the quality of the quoted evidence.</w:t>
            </w:r>
          </w:p>
          <w:p w14:paraId="025CF8E0" w14:textId="77777777" w:rsidR="007B17EA" w:rsidRDefault="007B17EA" w:rsidP="00E9034C">
            <w:pPr>
              <w:ind w:left="0" w:firstLine="0"/>
            </w:pPr>
          </w:p>
        </w:tc>
      </w:tr>
      <w:tr w:rsidR="007B17EA" w14:paraId="6DFB1E9F" w14:textId="77777777" w:rsidTr="00615DDA">
        <w:tc>
          <w:tcPr>
            <w:tcW w:w="4045" w:type="dxa"/>
          </w:tcPr>
          <w:p w14:paraId="5C340B03" w14:textId="77777777" w:rsidR="007B17EA" w:rsidRDefault="007B17EA" w:rsidP="00E9034C">
            <w:pPr>
              <w:ind w:left="0" w:firstLine="0"/>
            </w:pPr>
            <w:r>
              <w:t>Provide all other grades and definitions from the evidence grading system</w:t>
            </w:r>
          </w:p>
        </w:tc>
        <w:tc>
          <w:tcPr>
            <w:tcW w:w="5305" w:type="dxa"/>
          </w:tcPr>
          <w:p w14:paraId="539749E8" w14:textId="77777777" w:rsidR="007B17EA" w:rsidRDefault="007B17EA" w:rsidP="00E9034C">
            <w:pPr>
              <w:ind w:left="0" w:firstLine="0"/>
            </w:pPr>
            <w:r>
              <w:t xml:space="preserve">None. </w:t>
            </w:r>
          </w:p>
        </w:tc>
      </w:tr>
      <w:tr w:rsidR="007B17EA" w14:paraId="1FB7CDA6" w14:textId="77777777" w:rsidTr="00615DDA">
        <w:tc>
          <w:tcPr>
            <w:tcW w:w="4045" w:type="dxa"/>
          </w:tcPr>
          <w:p w14:paraId="55D2B5B1" w14:textId="77777777" w:rsidR="007B17EA" w:rsidRDefault="007B17EA" w:rsidP="00E9034C">
            <w:pPr>
              <w:ind w:left="0" w:firstLine="0"/>
            </w:pPr>
            <w:r>
              <w:t xml:space="preserve">Grade assigned to the </w:t>
            </w:r>
            <w:r w:rsidRPr="004E7215">
              <w:rPr>
                <w:b/>
              </w:rPr>
              <w:t>recommendation</w:t>
            </w:r>
            <w:r>
              <w:t xml:space="preserve"> with definition of the grade</w:t>
            </w:r>
          </w:p>
        </w:tc>
        <w:tc>
          <w:tcPr>
            <w:tcW w:w="5305" w:type="dxa"/>
          </w:tcPr>
          <w:p w14:paraId="0F9131ED" w14:textId="77777777" w:rsidR="007B17EA" w:rsidRPr="007B17EA" w:rsidRDefault="007B17EA" w:rsidP="00E9034C">
            <w:pPr>
              <w:ind w:left="0" w:firstLine="0"/>
            </w:pPr>
            <w:r w:rsidRPr="007B17EA">
              <w:t>The guideline did not provide a grade for the cited recommendations.</w:t>
            </w:r>
          </w:p>
          <w:p w14:paraId="503516C8" w14:textId="77777777" w:rsidR="007B17EA" w:rsidRDefault="007B17EA" w:rsidP="00E9034C">
            <w:pPr>
              <w:ind w:left="0" w:firstLine="0"/>
            </w:pPr>
          </w:p>
        </w:tc>
      </w:tr>
      <w:tr w:rsidR="007B17EA" w14:paraId="5F009E60" w14:textId="77777777" w:rsidTr="00615DDA">
        <w:tc>
          <w:tcPr>
            <w:tcW w:w="4045" w:type="dxa"/>
          </w:tcPr>
          <w:p w14:paraId="69592EB9" w14:textId="77777777" w:rsidR="007B17EA" w:rsidRDefault="007B17EA" w:rsidP="00E9034C">
            <w:pPr>
              <w:ind w:left="0" w:firstLine="0"/>
            </w:pPr>
            <w:r>
              <w:t>Provide all other grades and definitions from the recommendation grading system</w:t>
            </w:r>
          </w:p>
        </w:tc>
        <w:tc>
          <w:tcPr>
            <w:tcW w:w="5305" w:type="dxa"/>
          </w:tcPr>
          <w:p w14:paraId="1D624BBF" w14:textId="77777777" w:rsidR="007B17EA" w:rsidRDefault="007B17EA" w:rsidP="00E9034C">
            <w:pPr>
              <w:ind w:left="0" w:firstLine="0"/>
            </w:pPr>
            <w:r>
              <w:t xml:space="preserve">None. </w:t>
            </w:r>
          </w:p>
        </w:tc>
      </w:tr>
      <w:tr w:rsidR="007B17EA" w14:paraId="37EFCFD9" w14:textId="77777777" w:rsidTr="00615DDA">
        <w:trPr>
          <w:trHeight w:val="2483"/>
        </w:trPr>
        <w:tc>
          <w:tcPr>
            <w:tcW w:w="4045" w:type="dxa"/>
          </w:tcPr>
          <w:p w14:paraId="35C8A75C" w14:textId="77777777" w:rsidR="007B17EA" w:rsidRDefault="007B17EA" w:rsidP="00E9034C">
            <w:pPr>
              <w:ind w:left="0" w:firstLine="0"/>
            </w:pPr>
            <w:r>
              <w:t>Body of evidence:</w:t>
            </w:r>
          </w:p>
          <w:p w14:paraId="6DC95022" w14:textId="77777777" w:rsidR="007B17EA" w:rsidRDefault="007B17EA" w:rsidP="00E9034C">
            <w:pPr>
              <w:pStyle w:val="ListParagraph"/>
              <w:numPr>
                <w:ilvl w:val="0"/>
                <w:numId w:val="10"/>
              </w:numPr>
            </w:pPr>
            <w:r>
              <w:t>Quantity – how many studies?</w:t>
            </w:r>
          </w:p>
          <w:p w14:paraId="5F140EC7" w14:textId="77777777" w:rsidR="007B17EA" w:rsidRDefault="007B17EA" w:rsidP="00E9034C">
            <w:pPr>
              <w:pStyle w:val="ListParagraph"/>
              <w:numPr>
                <w:ilvl w:val="0"/>
                <w:numId w:val="10"/>
              </w:numPr>
            </w:pPr>
            <w:r>
              <w:t>Quality – what type of studies?</w:t>
            </w:r>
          </w:p>
        </w:tc>
        <w:tc>
          <w:tcPr>
            <w:tcW w:w="5305" w:type="dxa"/>
          </w:tcPr>
          <w:p w14:paraId="023B54F0" w14:textId="5DBD6F06" w:rsidR="003D2B76" w:rsidRPr="003D2B76" w:rsidRDefault="003D2B76" w:rsidP="003D2B76">
            <w:pPr>
              <w:ind w:left="0" w:firstLine="0"/>
            </w:pPr>
            <w:r>
              <w:t>The guideline was</w:t>
            </w:r>
            <w:r w:rsidRPr="003D2B76">
              <w:t xml:space="preserve"> developed using a consensus-based approach. While evidence was reviewed as part of the development process for these guidelines, the details of the evidence review were not provided.</w:t>
            </w:r>
          </w:p>
          <w:p w14:paraId="1F87CDD3" w14:textId="77777777" w:rsidR="007B17EA" w:rsidRDefault="007B17EA" w:rsidP="00E9034C">
            <w:pPr>
              <w:ind w:left="0" w:firstLine="0"/>
            </w:pPr>
          </w:p>
        </w:tc>
      </w:tr>
      <w:tr w:rsidR="007B17EA" w14:paraId="0C88B806" w14:textId="77777777" w:rsidTr="00615DDA">
        <w:tc>
          <w:tcPr>
            <w:tcW w:w="4045" w:type="dxa"/>
          </w:tcPr>
          <w:p w14:paraId="06059A84" w14:textId="77777777" w:rsidR="007B17EA" w:rsidRDefault="007B17EA" w:rsidP="00E9034C">
            <w:pPr>
              <w:ind w:left="0" w:firstLine="0"/>
            </w:pPr>
            <w:r>
              <w:t xml:space="preserve">Estimates of benefit and consistency across studies </w:t>
            </w:r>
          </w:p>
        </w:tc>
        <w:tc>
          <w:tcPr>
            <w:tcW w:w="5305" w:type="dxa"/>
          </w:tcPr>
          <w:p w14:paraId="6AA032DA" w14:textId="6547E322" w:rsidR="007B17EA" w:rsidRDefault="003D2B76" w:rsidP="00E9034C">
            <w:pPr>
              <w:ind w:left="0" w:firstLine="0"/>
            </w:pPr>
            <w:r w:rsidRPr="003D2B76">
              <w:t>The guideline was developed using a consensus-based approach involving a group of stakeholders and experts in the field. While the consensus-based approach was supplemented with a review of the evidence as part of the dev</w:t>
            </w:r>
            <w:r>
              <w:t>elopment of each guideline, the</w:t>
            </w:r>
            <w:r w:rsidRPr="003D2B76">
              <w:t xml:space="preserve"> consistency of the reviewed evidence were not provided.</w:t>
            </w:r>
          </w:p>
          <w:p w14:paraId="1ECBD21A" w14:textId="77777777" w:rsidR="003D2B76" w:rsidRDefault="003D2B76" w:rsidP="00E9034C">
            <w:pPr>
              <w:ind w:left="0" w:firstLine="0"/>
            </w:pPr>
          </w:p>
          <w:p w14:paraId="200575E6" w14:textId="69D17027" w:rsidR="003D2B76" w:rsidRDefault="003D2B76" w:rsidP="00E9034C">
            <w:pPr>
              <w:ind w:left="0" w:firstLine="0"/>
            </w:pPr>
            <w:r w:rsidRPr="003D2B76">
              <w:t>None of the cited guidelines provide a quantitative estimate of benefit for follow-up care for patients prescribed antipsychotic medications. However, there is consensus among the guidelines that close follow-up monitoring is an essential standard of care for patients prescribed antipsychotic medications to ensure effectiveness of treatment and to mitigate any adverse consequences or reactions to the drugs.</w:t>
            </w:r>
          </w:p>
        </w:tc>
      </w:tr>
      <w:tr w:rsidR="007B17EA" w14:paraId="1588F847" w14:textId="77777777" w:rsidTr="00615DDA">
        <w:tc>
          <w:tcPr>
            <w:tcW w:w="4045" w:type="dxa"/>
          </w:tcPr>
          <w:p w14:paraId="74086BE2" w14:textId="77777777" w:rsidR="007B17EA" w:rsidRDefault="007B17EA" w:rsidP="00E9034C">
            <w:pPr>
              <w:ind w:left="0" w:firstLine="0"/>
            </w:pPr>
            <w:r>
              <w:t>What harms were identified?</w:t>
            </w:r>
          </w:p>
        </w:tc>
        <w:tc>
          <w:tcPr>
            <w:tcW w:w="5305" w:type="dxa"/>
          </w:tcPr>
          <w:p w14:paraId="75F32301" w14:textId="7E0305A9" w:rsidR="001E7459" w:rsidRPr="001E7459" w:rsidRDefault="001E7459" w:rsidP="001E7459">
            <w:pPr>
              <w:ind w:left="0" w:firstLine="0"/>
            </w:pPr>
            <w:r>
              <w:t>While the guideline</w:t>
            </w:r>
            <w:r w:rsidRPr="001E7459">
              <w:t xml:space="preserve"> do</w:t>
            </w:r>
            <w:r>
              <w:t>es</w:t>
            </w:r>
            <w:r w:rsidRPr="001E7459">
              <w:t xml:space="preserve"> not give a </w:t>
            </w:r>
            <w:r>
              <w:t xml:space="preserve">formal description or estimate of </w:t>
            </w:r>
            <w:r w:rsidRPr="001E7459">
              <w:t xml:space="preserve">harms, we anticipate the expected benefits of follow-up care to far outweigh any potential harms because ongoing monitoring and follow-up is a basic </w:t>
            </w:r>
            <w:r w:rsidRPr="001E7459">
              <w:lastRenderedPageBreak/>
              <w:t xml:space="preserve">standard of care for patients taking antipsychotic medications. </w:t>
            </w:r>
          </w:p>
          <w:p w14:paraId="021FB5AA" w14:textId="77777777" w:rsidR="007B17EA" w:rsidRDefault="007B17EA" w:rsidP="00E9034C">
            <w:pPr>
              <w:ind w:left="0" w:firstLine="0"/>
            </w:pPr>
          </w:p>
        </w:tc>
      </w:tr>
      <w:tr w:rsidR="007B17EA" w14:paraId="24D1363E" w14:textId="77777777" w:rsidTr="00615DDA">
        <w:tc>
          <w:tcPr>
            <w:tcW w:w="4045" w:type="dxa"/>
          </w:tcPr>
          <w:p w14:paraId="42A97424" w14:textId="77777777" w:rsidR="007B17EA" w:rsidRDefault="007B17EA" w:rsidP="00E9034C">
            <w:pPr>
              <w:ind w:left="0" w:firstLine="0"/>
            </w:pPr>
            <w:r>
              <w:lastRenderedPageBreak/>
              <w:t>Identify any new studies conducted since the SR. Do the new studies change the conclusions from the SR?</w:t>
            </w:r>
          </w:p>
        </w:tc>
        <w:tc>
          <w:tcPr>
            <w:tcW w:w="5305" w:type="dxa"/>
          </w:tcPr>
          <w:p w14:paraId="79D96A55" w14:textId="6674525F" w:rsidR="007B17EA" w:rsidRDefault="001E7459" w:rsidP="00E9034C">
            <w:pPr>
              <w:ind w:left="0" w:firstLine="0"/>
            </w:pPr>
            <w:r w:rsidRPr="001E7459">
              <w:t xml:space="preserve">We did not identify any new studies since the clinical guideline was published that change the conclusion in the recommendation.  </w:t>
            </w:r>
          </w:p>
        </w:tc>
      </w:tr>
    </w:tbl>
    <w:p w14:paraId="732CF660" w14:textId="77777777" w:rsidR="00615DDA" w:rsidRDefault="00615DDA" w:rsidP="00615DDA">
      <w:pPr>
        <w:rPr>
          <w:rFonts w:eastAsiaTheme="minorEastAsia" w:cs="Times New Roman"/>
          <w:b/>
        </w:rPr>
      </w:pPr>
    </w:p>
    <w:p w14:paraId="36D826AD" w14:textId="77777777" w:rsidR="00615DDA" w:rsidRPr="00A406D7" w:rsidRDefault="00615DDA" w:rsidP="00615DDA">
      <w:pPr>
        <w:rPr>
          <w:rFonts w:eastAsiaTheme="minorEastAsia" w:cs="Times New Roman"/>
          <w:b/>
        </w:rPr>
      </w:pPr>
      <w:r w:rsidRPr="00A406D7">
        <w:rPr>
          <w:rFonts w:eastAsiaTheme="minorEastAsia" w:cs="Times New Roman"/>
          <w:b/>
        </w:rPr>
        <w:t>General Recommendations: Monitoring Physical Health in Patients with Severe Mental Illness</w:t>
      </w:r>
    </w:p>
    <w:p w14:paraId="3514D040" w14:textId="77777777" w:rsidR="00615DDA" w:rsidRPr="00A64FFA" w:rsidRDefault="00615DDA" w:rsidP="00615DDA">
      <w:pPr>
        <w:rPr>
          <w:rFonts w:eastAsiaTheme="minorEastAsia" w:cs="Times New Roman"/>
          <w:b/>
          <w:sz w:val="24"/>
          <w:szCs w:val="24"/>
        </w:rPr>
      </w:pPr>
      <w:r>
        <w:rPr>
          <w:noProof/>
        </w:rPr>
        <w:drawing>
          <wp:inline distT="0" distB="0" distL="0" distR="0" wp14:anchorId="424C480E" wp14:editId="03751981">
            <wp:extent cx="4533900" cy="3084774"/>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1"/>
                    <a:srcRect l="24039" t="27065" r="25320" b="11681"/>
                    <a:stretch/>
                  </pic:blipFill>
                  <pic:spPr bwMode="auto">
                    <a:xfrm>
                      <a:off x="0" y="0"/>
                      <a:ext cx="4533900" cy="3084774"/>
                    </a:xfrm>
                    <a:prstGeom prst="rect">
                      <a:avLst/>
                    </a:prstGeom>
                    <a:ln>
                      <a:noFill/>
                    </a:ln>
                    <a:extLst>
                      <a:ext uri="{53640926-AAD7-44D8-BBD7-CCE9431645EC}">
                        <a14:shadowObscured xmlns:a14="http://schemas.microsoft.com/office/drawing/2010/main"/>
                      </a:ext>
                    </a:extLst>
                  </pic:spPr>
                </pic:pic>
              </a:graphicData>
            </a:graphic>
          </wp:inline>
        </w:drawing>
      </w:r>
    </w:p>
    <w:p w14:paraId="02911946" w14:textId="1EF4A92D" w:rsidR="00615DDA" w:rsidRDefault="00615DDA" w:rsidP="00615DDA">
      <w:pPr>
        <w:rPr>
          <w:rFonts w:eastAsiaTheme="minorEastAsia" w:cs="Times New Roman"/>
          <w:b/>
          <w:sz w:val="24"/>
          <w:szCs w:val="24"/>
        </w:rPr>
      </w:pPr>
      <w:r>
        <w:rPr>
          <w:noProof/>
        </w:rPr>
        <w:drawing>
          <wp:inline distT="0" distB="0" distL="0" distR="0" wp14:anchorId="3E602A3A" wp14:editId="0A40CE09">
            <wp:extent cx="4562475" cy="295963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2"/>
                    <a:srcRect l="24039" t="25071" r="25000" b="16524"/>
                    <a:stretch/>
                  </pic:blipFill>
                  <pic:spPr bwMode="auto">
                    <a:xfrm>
                      <a:off x="0" y="0"/>
                      <a:ext cx="4562475" cy="2959639"/>
                    </a:xfrm>
                    <a:prstGeom prst="rect">
                      <a:avLst/>
                    </a:prstGeom>
                    <a:ln>
                      <a:noFill/>
                    </a:ln>
                    <a:extLst>
                      <a:ext uri="{53640926-AAD7-44D8-BBD7-CCE9431645EC}">
                        <a14:shadowObscured xmlns:a14="http://schemas.microsoft.com/office/drawing/2010/main"/>
                      </a:ext>
                    </a:extLst>
                  </pic:spPr>
                </pic:pic>
              </a:graphicData>
            </a:graphic>
          </wp:inline>
        </w:drawing>
      </w:r>
    </w:p>
    <w:p w14:paraId="13833486" w14:textId="77777777" w:rsidR="00615DDA" w:rsidRPr="00C70769" w:rsidRDefault="00615DDA" w:rsidP="00615DDA">
      <w:pPr>
        <w:ind w:left="0" w:firstLine="0"/>
        <w:rPr>
          <w:rFonts w:eastAsiaTheme="minorEastAsia" w:cs="Times New Roman"/>
          <w:sz w:val="20"/>
          <w:szCs w:val="24"/>
        </w:rPr>
      </w:pPr>
      <w:r w:rsidRPr="00C70769">
        <w:rPr>
          <w:rFonts w:eastAsiaTheme="minorEastAsia" w:cs="Times New Roman"/>
          <w:sz w:val="20"/>
          <w:szCs w:val="24"/>
        </w:rPr>
        <w:t>*Studies have shown that waist circumference is a better predictor of cardiovascular risk compared to Body Mass Index (BMI)</w:t>
      </w:r>
    </w:p>
    <w:p w14:paraId="2B82C4F6" w14:textId="77777777" w:rsidR="00615DDA" w:rsidRPr="00C70769" w:rsidRDefault="00615DDA" w:rsidP="00615DDA">
      <w:pPr>
        <w:ind w:left="0" w:firstLine="0"/>
        <w:rPr>
          <w:rFonts w:eastAsiaTheme="minorEastAsia" w:cs="Times New Roman"/>
          <w:sz w:val="20"/>
          <w:szCs w:val="24"/>
        </w:rPr>
      </w:pPr>
      <w:r w:rsidRPr="00C70769">
        <w:rPr>
          <w:rFonts w:eastAsiaTheme="minorEastAsia" w:cs="Times New Roman"/>
          <w:sz w:val="20"/>
          <w:szCs w:val="24"/>
          <w:vertAlign w:val="superscript"/>
        </w:rPr>
        <w:t>a</w:t>
      </w:r>
      <w:r w:rsidRPr="00C70769">
        <w:rPr>
          <w:rFonts w:eastAsiaTheme="minorEastAsia" w:cs="Times New Roman"/>
          <w:sz w:val="20"/>
          <w:szCs w:val="24"/>
        </w:rPr>
        <w:t>recommended to obtain baseline values; if too expensive, obtain only in cases where sexual or reproductive system abnormalities</w:t>
      </w:r>
      <w:r>
        <w:rPr>
          <w:rFonts w:eastAsiaTheme="minorEastAsia" w:cs="Times New Roman"/>
          <w:sz w:val="20"/>
          <w:szCs w:val="24"/>
        </w:rPr>
        <w:t xml:space="preserve"> </w:t>
      </w:r>
      <w:r w:rsidRPr="00C70769">
        <w:rPr>
          <w:rFonts w:eastAsiaTheme="minorEastAsia" w:cs="Times New Roman"/>
          <w:sz w:val="20"/>
          <w:szCs w:val="24"/>
        </w:rPr>
        <w:t>are reported</w:t>
      </w:r>
    </w:p>
    <w:p w14:paraId="52CAD866" w14:textId="77777777" w:rsidR="00615DDA" w:rsidRPr="00C70769" w:rsidRDefault="00615DDA" w:rsidP="00615DDA">
      <w:pPr>
        <w:ind w:left="0" w:firstLine="0"/>
        <w:rPr>
          <w:rFonts w:eastAsiaTheme="minorEastAsia" w:cs="Times New Roman"/>
          <w:sz w:val="20"/>
          <w:szCs w:val="24"/>
        </w:rPr>
      </w:pPr>
      <w:r w:rsidRPr="00C70769">
        <w:rPr>
          <w:rFonts w:eastAsiaTheme="minorEastAsia" w:cs="Times New Roman"/>
          <w:sz w:val="20"/>
          <w:szCs w:val="24"/>
          <w:vertAlign w:val="superscript"/>
        </w:rPr>
        <w:t>b</w:t>
      </w:r>
      <w:r w:rsidRPr="00C70769">
        <w:rPr>
          <w:rFonts w:eastAsiaTheme="minorEastAsia" w:cs="Times New Roman"/>
          <w:sz w:val="20"/>
          <w:szCs w:val="24"/>
        </w:rPr>
        <w:t>obtain in cases where sexual dysfunction coincides with antipsychotic treatment or dose change</w:t>
      </w:r>
    </w:p>
    <w:p w14:paraId="4ADCA263" w14:textId="77777777" w:rsidR="00615DDA" w:rsidRPr="00C70769" w:rsidRDefault="00615DDA" w:rsidP="00615DDA">
      <w:pPr>
        <w:ind w:left="0" w:firstLine="0"/>
        <w:rPr>
          <w:rFonts w:eastAsiaTheme="minorEastAsia" w:cs="Times New Roman"/>
          <w:sz w:val="20"/>
          <w:szCs w:val="24"/>
        </w:rPr>
      </w:pPr>
      <w:r w:rsidRPr="00C70769">
        <w:rPr>
          <w:rFonts w:eastAsiaTheme="minorEastAsia" w:cs="Times New Roman"/>
          <w:sz w:val="20"/>
          <w:szCs w:val="24"/>
        </w:rPr>
        <w:lastRenderedPageBreak/>
        <w:t>‡ECG = electrocardiogram; perform EKG at baseline then only if symptomatic</w:t>
      </w:r>
    </w:p>
    <w:p w14:paraId="0D4E87EF" w14:textId="77777777" w:rsidR="00615DDA" w:rsidRPr="00C70769" w:rsidRDefault="00615DDA" w:rsidP="00615DDA">
      <w:pPr>
        <w:ind w:left="0" w:firstLine="0"/>
        <w:rPr>
          <w:rFonts w:eastAsiaTheme="minorEastAsia" w:cs="Times New Roman"/>
          <w:sz w:val="20"/>
          <w:szCs w:val="24"/>
        </w:rPr>
      </w:pPr>
      <w:r w:rsidRPr="00C70769">
        <w:rPr>
          <w:rFonts w:eastAsiaTheme="minorEastAsia" w:cs="Times New Roman"/>
          <w:sz w:val="20"/>
          <w:szCs w:val="24"/>
          <w:vertAlign w:val="superscript"/>
        </w:rPr>
        <w:t>1</w:t>
      </w:r>
      <w:r w:rsidRPr="00C70769">
        <w:rPr>
          <w:rFonts w:eastAsiaTheme="minorEastAsia" w:cs="Times New Roman"/>
          <w:sz w:val="20"/>
          <w:szCs w:val="24"/>
        </w:rPr>
        <w:t>Adapted from Hert, et al, 2011. “Physical Illness in patients with severe mental disorders, II, Barriers to care, monitoring, and treatment</w:t>
      </w:r>
      <w:r>
        <w:rPr>
          <w:rFonts w:eastAsiaTheme="minorEastAsia" w:cs="Times New Roman"/>
          <w:sz w:val="20"/>
          <w:szCs w:val="24"/>
        </w:rPr>
        <w:t xml:space="preserve"> </w:t>
      </w:r>
      <w:r w:rsidRPr="00C70769">
        <w:rPr>
          <w:rFonts w:eastAsiaTheme="minorEastAsia" w:cs="Times New Roman"/>
          <w:sz w:val="20"/>
          <w:szCs w:val="24"/>
        </w:rPr>
        <w:t>guidelines, plus recommendations at the system and individual level. World Psychiatry. 10: 138-151.</w:t>
      </w:r>
    </w:p>
    <w:p w14:paraId="18C198BE" w14:textId="77777777" w:rsidR="00615DDA" w:rsidRPr="00C70769" w:rsidRDefault="00615DDA" w:rsidP="00615DDA">
      <w:pPr>
        <w:ind w:left="0" w:firstLine="0"/>
        <w:rPr>
          <w:rFonts w:eastAsiaTheme="minorEastAsia" w:cs="Times New Roman"/>
          <w:sz w:val="20"/>
          <w:szCs w:val="24"/>
        </w:rPr>
      </w:pPr>
      <w:r w:rsidRPr="00C70769">
        <w:rPr>
          <w:rFonts w:eastAsiaTheme="minorEastAsia" w:cs="Times New Roman"/>
          <w:sz w:val="20"/>
          <w:szCs w:val="24"/>
          <w:vertAlign w:val="superscript"/>
        </w:rPr>
        <w:t>2</w:t>
      </w:r>
      <w:r w:rsidRPr="00C70769">
        <w:rPr>
          <w:rFonts w:eastAsiaTheme="minorEastAsia" w:cs="Times New Roman"/>
          <w:sz w:val="20"/>
          <w:szCs w:val="24"/>
        </w:rPr>
        <w:t>Adapted from Florida Medicaid Drug Therapy Management Program for Behavioral Health: Florida Best Practice Medication Child/</w:t>
      </w:r>
    </w:p>
    <w:p w14:paraId="560D7E59" w14:textId="77777777" w:rsidR="00615DDA" w:rsidRPr="00C70769" w:rsidRDefault="00615DDA" w:rsidP="00615DDA">
      <w:pPr>
        <w:ind w:left="0" w:firstLine="0"/>
        <w:rPr>
          <w:rFonts w:eastAsiaTheme="minorEastAsia" w:cs="Times New Roman"/>
          <w:sz w:val="20"/>
          <w:szCs w:val="24"/>
        </w:rPr>
      </w:pPr>
      <w:r w:rsidRPr="00C70769">
        <w:rPr>
          <w:rFonts w:eastAsiaTheme="minorEastAsia" w:cs="Times New Roman"/>
          <w:sz w:val="20"/>
          <w:szCs w:val="24"/>
        </w:rPr>
        <w:t>Adolescent Guidelines</w:t>
      </w:r>
    </w:p>
    <w:p w14:paraId="5EB5078E" w14:textId="77777777" w:rsidR="00615DDA" w:rsidRPr="00C70769" w:rsidRDefault="00615DDA" w:rsidP="00615DDA">
      <w:pPr>
        <w:ind w:left="0" w:firstLine="0"/>
        <w:rPr>
          <w:rFonts w:eastAsiaTheme="minorEastAsia" w:cs="Times New Roman"/>
          <w:sz w:val="20"/>
          <w:szCs w:val="24"/>
        </w:rPr>
      </w:pPr>
      <w:r w:rsidRPr="00C70769">
        <w:rPr>
          <w:rFonts w:eastAsiaTheme="minorEastAsia" w:cs="Times New Roman"/>
          <w:sz w:val="20"/>
          <w:szCs w:val="24"/>
        </w:rPr>
        <w:t>†Abbreviations: SAS = Simpson-Angus Scale; ESRS = Extrapyramidal Symptom Rating Scale; AIMS = Abnormal Involuntary Movement</w:t>
      </w:r>
    </w:p>
    <w:p w14:paraId="61EFA9A7" w14:textId="77777777" w:rsidR="00615DDA" w:rsidRPr="00C70769" w:rsidRDefault="00615DDA" w:rsidP="00615DDA">
      <w:pPr>
        <w:rPr>
          <w:rFonts w:eastAsiaTheme="minorEastAsia" w:cs="Times New Roman"/>
          <w:sz w:val="20"/>
          <w:szCs w:val="24"/>
        </w:rPr>
      </w:pPr>
      <w:r w:rsidRPr="00C70769">
        <w:rPr>
          <w:rFonts w:eastAsiaTheme="minorEastAsia" w:cs="Times New Roman"/>
          <w:sz w:val="20"/>
          <w:szCs w:val="24"/>
        </w:rPr>
        <w:t>Scale.</w:t>
      </w:r>
    </w:p>
    <w:p w14:paraId="6086B2D1" w14:textId="77777777" w:rsidR="00D25170" w:rsidRPr="00D23091" w:rsidRDefault="00D25170" w:rsidP="00D25170">
      <w:pPr>
        <w:rPr>
          <w:rFonts w:eastAsiaTheme="minorEastAsia" w:cs="Times New Roman"/>
          <w:b/>
          <w:sz w:val="24"/>
          <w:szCs w:val="24"/>
        </w:rPr>
      </w:pPr>
    </w:p>
    <w:p w14:paraId="2A94A787" w14:textId="77777777" w:rsidR="00D25170" w:rsidRPr="003B1CC5" w:rsidRDefault="00D25170"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3E3FBD10" w14:textId="0339C228" w:rsidR="00921301" w:rsidRPr="00DA7FA9" w:rsidRDefault="000E5C93" w:rsidP="002E2177">
      <w:pPr>
        <w:ind w:left="0" w:firstLine="0"/>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43F22DFD" w14:textId="31C59033" w:rsidR="00DA7FA9" w:rsidRDefault="00641426" w:rsidP="00C67671">
      <w:pPr>
        <w:spacing w:before="240" w:after="240"/>
        <w:ind w:left="0" w:firstLine="0"/>
        <w:rPr>
          <w:rFonts w:ascii="Calibri" w:eastAsia="Times New Roman" w:hAnsi="Calibri" w:cs="Times New Roman"/>
        </w:rPr>
      </w:pPr>
      <w:r>
        <w:rPr>
          <w:rFonts w:ascii="Calibri" w:eastAsia="Times New Roman" w:hAnsi="Calibri" w:cs="Times New Roman"/>
          <w:bCs/>
        </w:rPr>
        <w:t xml:space="preserve">In addition to the clinical guidelines reviewed above, </w:t>
      </w:r>
      <w:r w:rsidR="00DA7FA9">
        <w:rPr>
          <w:rFonts w:ascii="Calibri" w:eastAsia="Times New Roman" w:hAnsi="Calibri" w:cs="Times New Roman"/>
          <w:bCs/>
        </w:rPr>
        <w:t>the project team</w:t>
      </w:r>
      <w:r>
        <w:rPr>
          <w:rFonts w:ascii="Calibri" w:eastAsia="Times New Roman" w:hAnsi="Calibri" w:cs="Times New Roman"/>
          <w:bCs/>
        </w:rPr>
        <w:t xml:space="preserve"> reviewed literature and consulted with stakeholders and clinical experts in development of this measure (see below). </w:t>
      </w:r>
      <w:r w:rsidR="009664F5">
        <w:rPr>
          <w:rFonts w:ascii="Calibri" w:eastAsia="Times New Roman" w:hAnsi="Calibri" w:cs="Times New Roman"/>
          <w:bCs/>
        </w:rPr>
        <w:t>T</w:t>
      </w:r>
      <w:r w:rsidR="00FE37DF">
        <w:rPr>
          <w:rFonts w:ascii="Calibri" w:eastAsia="Times New Roman" w:hAnsi="Calibri" w:cs="Times New Roman"/>
          <w:bCs/>
        </w:rPr>
        <w:t>o define the measure specifications, t</w:t>
      </w:r>
      <w:r w:rsidR="009664F5">
        <w:rPr>
          <w:rFonts w:ascii="Calibri" w:eastAsia="Times New Roman" w:hAnsi="Calibri" w:cs="Times New Roman"/>
          <w:bCs/>
        </w:rPr>
        <w:t>he</w:t>
      </w:r>
      <w:r w:rsidR="00FE37DF">
        <w:rPr>
          <w:rFonts w:ascii="Calibri" w:eastAsia="Times New Roman" w:hAnsi="Calibri" w:cs="Times New Roman"/>
          <w:bCs/>
        </w:rPr>
        <w:t xml:space="preserve"> project team convened and consulted with a</w:t>
      </w:r>
      <w:r w:rsidR="009664F5">
        <w:rPr>
          <w:rFonts w:ascii="Calibri" w:eastAsia="Times New Roman" w:hAnsi="Calibri" w:cs="Times New Roman"/>
          <w:bCs/>
        </w:rPr>
        <w:t xml:space="preserve"> clinical advisory workgroup</w:t>
      </w:r>
      <w:r w:rsidR="00FE37DF">
        <w:rPr>
          <w:rFonts w:ascii="Calibri" w:eastAsia="Times New Roman" w:hAnsi="Calibri" w:cs="Times New Roman"/>
          <w:bCs/>
        </w:rPr>
        <w:t>, including the follow-up period, target medications, and types of follow-up visits. The workgroup noted that timely f</w:t>
      </w:r>
      <w:r w:rsidR="00921301" w:rsidRPr="00921301">
        <w:rPr>
          <w:rFonts w:ascii="Calibri" w:eastAsia="Times New Roman" w:hAnsi="Calibri" w:cs="Times New Roman"/>
        </w:rPr>
        <w:t xml:space="preserve">ollow-up is a minimal clinical standard of care for patients with mental illness who are prescribed </w:t>
      </w:r>
      <w:r w:rsidR="00DE4B7E">
        <w:rPr>
          <w:rFonts w:ascii="Calibri" w:eastAsia="Times New Roman" w:hAnsi="Calibri" w:cs="Times New Roman"/>
        </w:rPr>
        <w:t xml:space="preserve">antipsychotics and other </w:t>
      </w:r>
      <w:r w:rsidR="00921301" w:rsidRPr="00921301">
        <w:rPr>
          <w:rFonts w:ascii="Calibri" w:eastAsia="Times New Roman" w:hAnsi="Calibri" w:cs="Times New Roman"/>
        </w:rPr>
        <w:t>psychotropic medications and is a critical co</w:t>
      </w:r>
      <w:r w:rsidR="000A6F8A">
        <w:rPr>
          <w:rFonts w:ascii="Calibri" w:eastAsia="Times New Roman" w:hAnsi="Calibri" w:cs="Times New Roman"/>
        </w:rPr>
        <w:t>mponent of disease management.</w:t>
      </w:r>
    </w:p>
    <w:p w14:paraId="3A11A13B" w14:textId="3CDB18A1" w:rsidR="00921301" w:rsidRPr="00DA7FA9" w:rsidRDefault="000A6F8A" w:rsidP="00C67671">
      <w:pPr>
        <w:spacing w:before="240" w:after="240"/>
        <w:ind w:left="0" w:firstLine="0"/>
        <w:rPr>
          <w:rFonts w:ascii="Calibri" w:eastAsia="Times New Roman" w:hAnsi="Calibri" w:cs="Times New Roman"/>
          <w:bCs/>
        </w:rPr>
      </w:pPr>
      <w:r>
        <w:rPr>
          <w:rFonts w:ascii="Calibri" w:eastAsia="Times New Roman" w:hAnsi="Calibri" w:cs="Times New Roman"/>
        </w:rPr>
        <w:t>The literature also supports the underlying concept that</w:t>
      </w:r>
      <w:r w:rsidR="00921301" w:rsidRPr="00921301">
        <w:rPr>
          <w:rFonts w:ascii="Calibri" w:eastAsia="Times New Roman" w:hAnsi="Calibri" w:cs="Times New Roman"/>
        </w:rPr>
        <w:t xml:space="preserve"> follow-up visit with a provider is essential to monitor treatment effectiveness, evaluate health concerns, and adjust treatment as needed to minimize potential harms associated with the use of psychotropic medications. One 2014 cross-sectional analysis of nationally-representative data estimates that 35 percent to 50 percent of mental health care episodes consist of psychotropic drug fills without an outpatient visit to monitor treatment and up to 35 percent of episodes consisted of only a single visit (Le Cook et al. 2014). </w:t>
      </w:r>
    </w:p>
    <w:p w14:paraId="516320F0" w14:textId="77777777" w:rsidR="00921301" w:rsidRPr="00921301" w:rsidRDefault="00921301" w:rsidP="00C67671">
      <w:pPr>
        <w:spacing w:before="240" w:after="240"/>
        <w:ind w:left="0" w:firstLine="0"/>
        <w:rPr>
          <w:rFonts w:ascii="Calibri" w:eastAsia="Times New Roman" w:hAnsi="Calibri" w:cs="Times New Roman"/>
        </w:rPr>
      </w:pPr>
      <w:r w:rsidRPr="00921301">
        <w:rPr>
          <w:rFonts w:ascii="Calibri" w:eastAsia="Times New Roman" w:hAnsi="Calibri" w:cs="Times New Roman"/>
        </w:rPr>
        <w:t xml:space="preserve">Despite the importance of follow-up for patients taking antipsychotics, there is evidence that these patients are not receiving adequate follow-up care. For example, there is a growing body of evidence that shows persistent gaps in monitoring for metabolic effects of antipsychotic medications despite available guidelines and recommendations. While follow-up care should encompass more than just metabolic monitoring, metabolic testing rates can be useful to gain a general idea of the adequacy of follow-up care. In a 2016 analysis of data from the Missouri Medicaid program, Morrato and colleagues reported annual testing rates of 79.6 percent for glucose and 41.2 percent for lipids among beneficiaries taking antipsychotics (Morrato et al. 2016). This shows improvement over an earlier 2010 analysis data from three state Medicaid programs, which found testing rates as low as 27 percent for glucose testing and 10 percent for lipid testing (Morrato et al. 2010). This improvement is consistent with a 2011 analysis of Kansas Medicaid data that found improvement in annual testing between 2002 and 2007 from 23 percent to 75.3 percent for glucose monitoring and from 10.1 percent to 52.5 percent for lipid monitoring (Moeller, Rigler, Mayorga, Nazir, &amp; Shireman 2011). </w:t>
      </w:r>
    </w:p>
    <w:p w14:paraId="3BB3A0C5" w14:textId="24CA4B8D" w:rsidR="00921301" w:rsidRDefault="00921301" w:rsidP="00C67671">
      <w:pPr>
        <w:spacing w:before="240" w:after="240"/>
        <w:ind w:left="0" w:firstLine="0"/>
        <w:rPr>
          <w:rFonts w:ascii="Calibri" w:eastAsia="Calibri" w:hAnsi="Calibri" w:cs="Times New Roman"/>
        </w:rPr>
      </w:pPr>
      <w:r w:rsidRPr="00921301">
        <w:rPr>
          <w:rFonts w:ascii="Calibri" w:eastAsia="Times New Roman" w:hAnsi="Calibri" w:cs="Times New Roman"/>
        </w:rPr>
        <w:lastRenderedPageBreak/>
        <w:t xml:space="preserve">While progress on testing at a state level is encouraging, there is still considerable room for improvement at a local level. In a 2011 analysis of Medicaid data, rates of metabolic testing were found to vary significantly based on geographic location and patient characteristics such as age and comorbidity (Morrato et al. 2011). </w:t>
      </w:r>
      <w:r w:rsidR="008E0859" w:rsidRPr="00921301">
        <w:rPr>
          <w:rFonts w:ascii="Calibri" w:eastAsia="Times New Roman" w:hAnsi="Calibri" w:cs="Times New Roman"/>
        </w:rPr>
        <w:t>Inadequate</w:t>
      </w:r>
      <w:r w:rsidRPr="00921301">
        <w:rPr>
          <w:rFonts w:ascii="Calibri" w:eastAsia="Times New Roman" w:hAnsi="Calibri" w:cs="Times New Roman"/>
        </w:rPr>
        <w:t xml:space="preserve"> follow-up care is often reflected by poor treatment adherence. </w:t>
      </w:r>
      <w:r w:rsidRPr="00921301">
        <w:rPr>
          <w:rFonts w:ascii="Calibri" w:eastAsia="Calibri" w:hAnsi="Calibri" w:cs="Times New Roman"/>
        </w:rPr>
        <w:t>A 2015 study found irregular attendance at follow-up appointments to be significantly associated with medication nonadherence (OR: 5.7; 95 percent confidence interval 2.92-11.31) among patients with psychiatric illness (Mert et al. 2015). A 2013 study found an antipsychotic non-adherence rate of nearly 38 percent among Medicaid patients with schizophrenia, with new prescription of antipsychotics and baseline non-adherence increasing the likelihood of non-adherence</w:t>
      </w:r>
      <w:r w:rsidR="0058709D">
        <w:rPr>
          <w:rFonts w:ascii="Calibri" w:eastAsia="Calibri" w:hAnsi="Calibri" w:cs="Times New Roman"/>
        </w:rPr>
        <w:t xml:space="preserve"> twelvefold (Lang et al. 2013).</w:t>
      </w:r>
      <w:r w:rsidRPr="00921301">
        <w:rPr>
          <w:rFonts w:ascii="Calibri" w:eastAsia="Calibri" w:hAnsi="Calibri" w:cs="Times New Roman"/>
        </w:rPr>
        <w:t xml:space="preserve"> Appropriate follow-up care is essential for patients taking antipsychotic medications to receive the full benefit of treatment and to minimize potential harms associated with use of antipsychotics.</w:t>
      </w:r>
    </w:p>
    <w:p w14:paraId="55B8DA9A" w14:textId="29A1B105" w:rsidR="000E5C93" w:rsidRPr="0058709D" w:rsidRDefault="0058709D" w:rsidP="00C67671">
      <w:pPr>
        <w:spacing w:before="240" w:after="240"/>
        <w:ind w:left="0" w:firstLine="0"/>
        <w:rPr>
          <w:rFonts w:ascii="Calibri" w:eastAsia="Calibri" w:hAnsi="Calibri" w:cs="Times New Roman"/>
        </w:rPr>
      </w:pPr>
      <w:r w:rsidRPr="0058709D">
        <w:rPr>
          <w:rFonts w:ascii="Calibri" w:eastAsia="Calibri" w:hAnsi="Calibri" w:cs="Times New Roman"/>
        </w:rPr>
        <w:t xml:space="preserve">The importance of ongoing follow-up for patients on psychotropic medications is also emphasized in recent government efforts to promote best prescribing practices for </w:t>
      </w:r>
      <w:r w:rsidR="0011449F" w:rsidRPr="0058709D">
        <w:rPr>
          <w:rFonts w:ascii="Calibri" w:eastAsia="Calibri" w:hAnsi="Calibri" w:cs="Times New Roman"/>
        </w:rPr>
        <w:t>psychotropic</w:t>
      </w:r>
      <w:r w:rsidR="0011449F">
        <w:rPr>
          <w:rFonts w:ascii="Calibri" w:eastAsia="Calibri" w:hAnsi="Calibri" w:cs="Times New Roman"/>
        </w:rPr>
        <w:t xml:space="preserve"> medications</w:t>
      </w:r>
      <w:r w:rsidRPr="0058709D">
        <w:rPr>
          <w:rFonts w:ascii="Calibri" w:eastAsia="Calibri" w:hAnsi="Calibri" w:cs="Times New Roman"/>
        </w:rPr>
        <w:t xml:space="preserve"> (MACPAC 2015). In a 2015 study, Mert and colleagues identified irregular follow-up as an important risk factor for medication non-adherence among patients with mental illness (Mert et al. 2015). </w:t>
      </w:r>
    </w:p>
    <w:p w14:paraId="55B8DA9B" w14:textId="77777777" w:rsidR="00837121" w:rsidRDefault="000E5C93" w:rsidP="002E2177">
      <w:pPr>
        <w:ind w:left="0" w:firstLine="0"/>
        <w:rPr>
          <w:b/>
        </w:rPr>
      </w:pPr>
      <w:r w:rsidRPr="000E5C93">
        <w:rPr>
          <w:b/>
          <w:color w:val="244061" w:themeColor="accent1" w:themeShade="80"/>
        </w:rPr>
        <w:t xml:space="preserve">1a.4.2 </w:t>
      </w:r>
      <w:r w:rsidR="00837121" w:rsidRPr="003B1CC5">
        <w:rPr>
          <w:b/>
        </w:rPr>
        <w:t>What process was used to identify the evidence?</w:t>
      </w:r>
    </w:p>
    <w:p w14:paraId="55B8DA9C" w14:textId="470146DA" w:rsidR="00837121" w:rsidRPr="0058709D" w:rsidRDefault="00921301" w:rsidP="0058709D">
      <w:pPr>
        <w:spacing w:after="160" w:line="259" w:lineRule="auto"/>
        <w:ind w:left="0" w:firstLine="0"/>
        <w:rPr>
          <w:rFonts w:ascii="Calibri" w:eastAsia="Calibri" w:hAnsi="Calibri" w:cs="Times New Roman"/>
        </w:rPr>
      </w:pPr>
      <w:r w:rsidRPr="00921301">
        <w:rPr>
          <w:rFonts w:ascii="Calibri" w:eastAsia="Calibri" w:hAnsi="Calibri" w:cs="Times New Roman"/>
        </w:rPr>
        <w:t xml:space="preserve">The project team conducted an environmental scan, which included a targeted literature review, an evaluation of existing performance measures related to physical and mental health care integration to identify critical measurement gaps, and interviews with key stakeholders and subject matter experts. Stakeholders interviewed by the project team emphasized the importance of ongoing follow-up after the prescription of psychotropic medications to evaluate treatment effectiveness and modify the treatment regimen as appropriate. Timely follow-up is also essential to address medication side effects and potential barriers to treatment adherence. </w:t>
      </w:r>
      <w:r w:rsidR="0058709D" w:rsidRPr="0058709D">
        <w:rPr>
          <w:rFonts w:ascii="Calibri" w:eastAsia="Calibri" w:hAnsi="Calibri" w:cs="Times New Roman"/>
        </w:rPr>
        <w:t>As noted above, the project team consulted with a clinical advisory work group to identify the appropriate follow-up period, types of follow-up visits, and types of medications for inclusion in the measure.</w:t>
      </w:r>
    </w:p>
    <w:p w14:paraId="55B8DA9D" w14:textId="77777777"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311AA0FB" w14:textId="77777777" w:rsidR="00DE4B7E" w:rsidRDefault="00DE4B7E" w:rsidP="0011449F">
      <w:pPr>
        <w:spacing w:before="240" w:after="240"/>
        <w:ind w:left="0" w:firstLine="0"/>
        <w:rPr>
          <w:rFonts w:ascii="Calibri" w:eastAsia="Calibri" w:hAnsi="Calibri" w:cs="Times New Roman"/>
        </w:rPr>
      </w:pPr>
      <w:r w:rsidRPr="00DE4B7E">
        <w:rPr>
          <w:rFonts w:ascii="Calibri" w:eastAsia="Calibri" w:hAnsi="Calibri" w:cs="Times New Roman"/>
        </w:rPr>
        <w:t xml:space="preserve">De Hert M, Correll CU, Bobes J, et al. Physical illness in patients with severe mental disorders. I. Prevalence, impact of medications and disparities in health care. </w:t>
      </w:r>
      <w:r w:rsidRPr="00DE4B7E">
        <w:rPr>
          <w:rFonts w:ascii="Calibri" w:eastAsia="Calibri" w:hAnsi="Calibri" w:cs="Times New Roman"/>
          <w:i/>
        </w:rPr>
        <w:t>World Psychiatry.</w:t>
      </w:r>
      <w:r w:rsidRPr="00DE4B7E">
        <w:rPr>
          <w:rFonts w:ascii="Calibri" w:eastAsia="Calibri" w:hAnsi="Calibri" w:cs="Times New Roman"/>
        </w:rPr>
        <w:t>2011;10:52-77.</w:t>
      </w:r>
    </w:p>
    <w:p w14:paraId="659E99F1" w14:textId="77777777" w:rsidR="00DE4B7E" w:rsidRPr="00921301" w:rsidRDefault="00DE4B7E" w:rsidP="0011449F">
      <w:pPr>
        <w:spacing w:before="240" w:after="240"/>
        <w:ind w:left="0" w:firstLine="0"/>
        <w:rPr>
          <w:rFonts w:ascii="Calibri" w:eastAsia="Calibri" w:hAnsi="Calibri" w:cs="Times New Roman"/>
        </w:rPr>
      </w:pPr>
      <w:r w:rsidRPr="00921301">
        <w:rPr>
          <w:rFonts w:ascii="Calibri" w:eastAsia="Calibri" w:hAnsi="Calibri" w:cs="Times New Roman"/>
        </w:rPr>
        <w:t>Lang K, Federico V, Muser E, Menzin J, Menzin J. Rates and predictors of antipsychotic non-adherence and hospitalization in Medicaid and commercially-insured patients with schizophrenia. J Med Econ. 2013;16(8):997-1006. doi: 10.3111/13696998.2013.816310.</w:t>
      </w:r>
    </w:p>
    <w:p w14:paraId="1084ADD0" w14:textId="77777777" w:rsidR="00DE4B7E" w:rsidRPr="00921301" w:rsidRDefault="00DE4B7E" w:rsidP="0011449F">
      <w:pPr>
        <w:spacing w:before="240" w:after="240"/>
        <w:ind w:left="0" w:firstLine="0"/>
        <w:rPr>
          <w:rFonts w:ascii="Calibri" w:eastAsia="Calibri" w:hAnsi="Calibri" w:cs="Times New Roman"/>
        </w:rPr>
      </w:pPr>
      <w:r w:rsidRPr="00921301">
        <w:rPr>
          <w:rFonts w:ascii="Calibri" w:eastAsia="Calibri" w:hAnsi="Calibri" w:cs="Times New Roman"/>
        </w:rPr>
        <w:t xml:space="preserve">Le Cook B, Zuvekas SH, Carson N, et al. Assessing racial/ethnic disparities in treatment across episodes of mental health care. </w:t>
      </w:r>
      <w:r w:rsidRPr="00921301">
        <w:rPr>
          <w:rFonts w:ascii="Calibri" w:eastAsia="Calibri" w:hAnsi="Calibri" w:cs="Times New Roman"/>
          <w:i/>
        </w:rPr>
        <w:t>Health Serv Res.</w:t>
      </w:r>
      <w:r w:rsidRPr="00921301">
        <w:rPr>
          <w:rFonts w:ascii="Calibri" w:eastAsia="Calibri" w:hAnsi="Calibri" w:cs="Times New Roman"/>
        </w:rPr>
        <w:t>2014;49(1):206-29. doi: 10.1111/1475-6773.12095.</w:t>
      </w:r>
    </w:p>
    <w:p w14:paraId="5297D687" w14:textId="77777777" w:rsidR="00DE4B7E" w:rsidRPr="00DE4B7E" w:rsidRDefault="00DE4B7E" w:rsidP="0011449F">
      <w:pPr>
        <w:spacing w:before="240" w:after="240"/>
        <w:ind w:left="0" w:firstLine="0"/>
        <w:rPr>
          <w:rFonts w:ascii="Calibri" w:eastAsia="Calibri" w:hAnsi="Calibri" w:cs="Times New Roman"/>
        </w:rPr>
      </w:pPr>
      <w:r w:rsidRPr="00DE4B7E">
        <w:rPr>
          <w:rFonts w:ascii="Calibri" w:eastAsia="Calibri" w:hAnsi="Calibri" w:cs="Times New Roman"/>
        </w:rPr>
        <w:t xml:space="preserve">Medicaid and CHIP Payment and Access Commission (MACPAC). Report to Congress on Medicaid and CHIP. June 2015. available at: </w:t>
      </w:r>
      <w:hyperlink r:id="rId23" w:history="1">
        <w:r w:rsidRPr="00DE4B7E">
          <w:rPr>
            <w:rStyle w:val="Hyperlink"/>
            <w:rFonts w:ascii="Calibri" w:eastAsia="Calibri" w:hAnsi="Calibri" w:cs="Times New Roman"/>
          </w:rPr>
          <w:t>https://www.macpac.gov/wp-content/uploads/2015/06/June-2015-Report-to-Congress-on-Medicaid-and-CHIP.pdf</w:t>
        </w:r>
      </w:hyperlink>
      <w:r w:rsidRPr="00DE4B7E">
        <w:rPr>
          <w:rFonts w:ascii="Calibri" w:eastAsia="Calibri" w:hAnsi="Calibri" w:cs="Times New Roman"/>
        </w:rPr>
        <w:t>. Accessed February 4, 2016.</w:t>
      </w:r>
    </w:p>
    <w:p w14:paraId="4D0CB052" w14:textId="77777777" w:rsidR="00DE4B7E" w:rsidRPr="00921301" w:rsidRDefault="00DE4B7E" w:rsidP="0011449F">
      <w:pPr>
        <w:spacing w:before="240" w:after="240"/>
        <w:ind w:left="0" w:firstLine="0"/>
        <w:rPr>
          <w:rFonts w:ascii="Calibri" w:eastAsia="Calibri" w:hAnsi="Calibri" w:cs="Times New Roman"/>
        </w:rPr>
      </w:pPr>
      <w:r w:rsidRPr="00921301">
        <w:rPr>
          <w:rFonts w:ascii="Calibri" w:eastAsia="Calibri" w:hAnsi="Calibri" w:cs="Times New Roman"/>
        </w:rPr>
        <w:t>Mert DG, Turgut NH, Lelleci M, Semiz M. Perspectives on reasons of medication nonadherence in psychiatric patients. Patient Prefer Adherence. 2015;9:87-93. doi: 10.2147/PPA.S75013.</w:t>
      </w:r>
    </w:p>
    <w:p w14:paraId="7AD5169F" w14:textId="77777777" w:rsidR="00DE4B7E" w:rsidRPr="00921301" w:rsidRDefault="00DE4B7E" w:rsidP="0011449F">
      <w:pPr>
        <w:spacing w:before="240" w:after="240"/>
        <w:ind w:left="0" w:firstLine="0"/>
        <w:rPr>
          <w:rFonts w:ascii="Calibri" w:eastAsia="Calibri" w:hAnsi="Calibri" w:cs="Times New Roman"/>
        </w:rPr>
      </w:pPr>
      <w:r w:rsidRPr="00921301">
        <w:rPr>
          <w:rFonts w:ascii="Calibri" w:eastAsia="Calibri" w:hAnsi="Calibri" w:cs="Times New Roman"/>
        </w:rPr>
        <w:lastRenderedPageBreak/>
        <w:t xml:space="preserve">Moeller KE, Rigler SK, Mayorga A, Nazir N, and Shireman TI. Quality of monitoring for metabolic effects associated with second generation antipsychotics in patients with schizophrenia on public insurance. </w:t>
      </w:r>
      <w:r w:rsidRPr="00921301">
        <w:rPr>
          <w:rFonts w:ascii="Calibri" w:eastAsia="Calibri" w:hAnsi="Calibri" w:cs="Times New Roman"/>
          <w:i/>
        </w:rPr>
        <w:t>Schizophr Res.</w:t>
      </w:r>
      <w:r w:rsidRPr="00921301">
        <w:rPr>
          <w:rFonts w:ascii="Calibri" w:eastAsia="Calibri" w:hAnsi="Calibri" w:cs="Times New Roman"/>
        </w:rPr>
        <w:t xml:space="preserve"> 2011;126(1-3):117-23. doi: 10.1016/j.schres.2010.11.015</w:t>
      </w:r>
    </w:p>
    <w:p w14:paraId="5BD1D3FC" w14:textId="77777777" w:rsidR="00DE4B7E" w:rsidRPr="00921301" w:rsidRDefault="00DE4B7E" w:rsidP="0011449F">
      <w:pPr>
        <w:spacing w:before="240" w:after="240"/>
        <w:ind w:left="0" w:firstLine="0"/>
        <w:rPr>
          <w:rFonts w:ascii="Calibri" w:eastAsia="Calibri" w:hAnsi="Calibri" w:cs="Times New Roman"/>
        </w:rPr>
      </w:pPr>
      <w:r w:rsidRPr="00921301">
        <w:rPr>
          <w:rFonts w:ascii="Calibri" w:eastAsia="Calibri" w:hAnsi="Calibri" w:cs="Times New Roman"/>
        </w:rPr>
        <w:t xml:space="preserve">Morrato EH, Campagna EJ, Brewer SE, et al. Metabolic testing for adults in a state Medicaid program receiving antipsychotics: remaining barriers to achieving population health prevention goals. </w:t>
      </w:r>
      <w:r w:rsidRPr="00921301">
        <w:rPr>
          <w:rFonts w:ascii="Calibri" w:eastAsia="Calibri" w:hAnsi="Calibri" w:cs="Times New Roman"/>
          <w:i/>
        </w:rPr>
        <w:t>JAMA Psychiatry.</w:t>
      </w:r>
      <w:r w:rsidRPr="00921301">
        <w:rPr>
          <w:rFonts w:ascii="Calibri" w:eastAsia="Calibri" w:hAnsi="Calibri" w:cs="Times New Roman"/>
        </w:rPr>
        <w:t>2016;73(7):721-30. doi:10.1001/jamapsychiatry.2016.0538</w:t>
      </w:r>
    </w:p>
    <w:p w14:paraId="1BBE5F10" w14:textId="77777777" w:rsidR="00DE4B7E" w:rsidRPr="00921301" w:rsidRDefault="00DE4B7E" w:rsidP="0011449F">
      <w:pPr>
        <w:spacing w:before="240" w:after="240"/>
        <w:ind w:left="0" w:firstLine="0"/>
        <w:rPr>
          <w:rFonts w:ascii="Calibri" w:eastAsia="Calibri" w:hAnsi="Calibri" w:cs="Times New Roman"/>
        </w:rPr>
      </w:pPr>
      <w:r w:rsidRPr="00921301">
        <w:rPr>
          <w:rFonts w:ascii="Calibri" w:eastAsia="Calibri" w:hAnsi="Calibri" w:cs="Times New Roman"/>
        </w:rPr>
        <w:t xml:space="preserve">Morrato EH, Druss B, Hartung DM, et al. Metabolic testing rates in 3 state Medicaid programs after FDA warnings and ADA/APA recommendations for second-generation antipsychotic drugs. </w:t>
      </w:r>
      <w:r w:rsidRPr="00921301">
        <w:rPr>
          <w:rFonts w:ascii="Calibri" w:eastAsia="Calibri" w:hAnsi="Calibri" w:cs="Times New Roman"/>
          <w:i/>
        </w:rPr>
        <w:t>Arch Gen Psychiatry.</w:t>
      </w:r>
      <w:r w:rsidRPr="00921301">
        <w:rPr>
          <w:rFonts w:ascii="Calibri" w:eastAsia="Calibri" w:hAnsi="Calibri" w:cs="Times New Roman"/>
        </w:rPr>
        <w:t xml:space="preserve"> 2010;67(1):17-24. doi:10.1001/archgenpsychiatry.2009.179</w:t>
      </w:r>
    </w:p>
    <w:p w14:paraId="730CD783" w14:textId="0FA47F83" w:rsidR="00DE4B7E" w:rsidRPr="0058709D" w:rsidRDefault="00DE4B7E" w:rsidP="0011449F">
      <w:pPr>
        <w:spacing w:before="240" w:after="240"/>
        <w:ind w:left="0" w:firstLine="0"/>
        <w:rPr>
          <w:rFonts w:ascii="Calibri" w:eastAsia="Calibri" w:hAnsi="Calibri" w:cs="Times New Roman"/>
        </w:rPr>
      </w:pPr>
      <w:r w:rsidRPr="00921301">
        <w:rPr>
          <w:rFonts w:ascii="Calibri" w:eastAsia="Calibri" w:hAnsi="Calibri" w:cs="Times New Roman"/>
        </w:rPr>
        <w:t xml:space="preserve">Morrato EH, Druss BG, Hartung DM, et al. Small area variation and geographic and patient-specific determinants of metabolic testing in antipsychotic users. </w:t>
      </w:r>
      <w:r w:rsidRPr="00921301">
        <w:rPr>
          <w:rFonts w:ascii="Calibri" w:eastAsia="Calibri" w:hAnsi="Calibri" w:cs="Times New Roman"/>
          <w:i/>
        </w:rPr>
        <w:t>Pharmacoepidemiol Drug Saf.</w:t>
      </w:r>
      <w:r w:rsidRPr="00921301">
        <w:rPr>
          <w:rFonts w:ascii="Calibri" w:eastAsia="Calibri" w:hAnsi="Calibri" w:cs="Times New Roman"/>
        </w:rPr>
        <w:t xml:space="preserve"> 2011;20(1):66-75. doi:10.1002/pds.2062.</w:t>
      </w:r>
    </w:p>
    <w:sectPr w:rsidR="00DE4B7E" w:rsidRPr="0058709D">
      <w:headerReference w:type="default" r:id="rId24"/>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FB43A" w14:textId="77777777" w:rsidR="00EF6834" w:rsidRDefault="00EF6834" w:rsidP="007E37A5">
      <w:r>
        <w:separator/>
      </w:r>
    </w:p>
  </w:endnote>
  <w:endnote w:type="continuationSeparator" w:id="0">
    <w:p w14:paraId="0A2F95DE" w14:textId="77777777" w:rsidR="00EF6834" w:rsidRDefault="00EF6834"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8DAA3" w14:textId="04E0D987"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8E67B4">
      <w:rPr>
        <w:noProof/>
      </w:rPr>
      <w:t>1</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CB81A" w14:textId="77777777" w:rsidR="00EF6834" w:rsidRDefault="00EF6834" w:rsidP="007E37A5">
      <w:r>
        <w:separator/>
      </w:r>
    </w:p>
  </w:footnote>
  <w:footnote w:type="continuationSeparator" w:id="0">
    <w:p w14:paraId="3034C9BD" w14:textId="77777777" w:rsidR="00EF6834" w:rsidRDefault="00EF6834"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D50BF"/>
    <w:multiLevelType w:val="hybridMultilevel"/>
    <w:tmpl w:val="CB30879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4FE2106A">
      <w:start w:val="3"/>
      <w:numFmt w:val="bullet"/>
      <w:lvlText w:val="•"/>
      <w:lvlJc w:val="left"/>
      <w:pPr>
        <w:ind w:left="2700" w:hanging="360"/>
      </w:pPr>
      <w:rPr>
        <w:rFonts w:ascii="Calibri" w:eastAsiaTheme="minorEastAsia" w:hAnsi="Calibri" w:cs="Times New Roman"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F5068AC"/>
    <w:multiLevelType w:val="hybridMultilevel"/>
    <w:tmpl w:val="C448B76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 w15:restartNumberingAfterBreak="0">
    <w:nsid w:val="50354F13"/>
    <w:multiLevelType w:val="hybridMultilevel"/>
    <w:tmpl w:val="4F026A8E"/>
    <w:lvl w:ilvl="0" w:tplc="204ED93C">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0"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A63535E"/>
    <w:multiLevelType w:val="hybridMultilevel"/>
    <w:tmpl w:val="A352E7FA"/>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2"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E2A158C"/>
    <w:multiLevelType w:val="hybridMultilevel"/>
    <w:tmpl w:val="C4AA4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2"/>
  </w:num>
  <w:num w:numId="4">
    <w:abstractNumId w:val="3"/>
  </w:num>
  <w:num w:numId="5">
    <w:abstractNumId w:val="5"/>
  </w:num>
  <w:num w:numId="6">
    <w:abstractNumId w:val="4"/>
  </w:num>
  <w:num w:numId="7">
    <w:abstractNumId w:val="13"/>
  </w:num>
  <w:num w:numId="8">
    <w:abstractNumId w:val="12"/>
  </w:num>
  <w:num w:numId="9">
    <w:abstractNumId w:val="15"/>
  </w:num>
  <w:num w:numId="10">
    <w:abstractNumId w:val="1"/>
  </w:num>
  <w:num w:numId="11">
    <w:abstractNumId w:val="7"/>
  </w:num>
  <w:num w:numId="12">
    <w:abstractNumId w:val="14"/>
  </w:num>
  <w:num w:numId="13">
    <w:abstractNumId w:val="0"/>
  </w:num>
  <w:num w:numId="14">
    <w:abstractNumId w:val="8"/>
  </w:num>
  <w:num w:numId="15">
    <w:abstractNumId w:val="11"/>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433F1"/>
    <w:rsid w:val="00052C0B"/>
    <w:rsid w:val="00061CF3"/>
    <w:rsid w:val="00063601"/>
    <w:rsid w:val="00073079"/>
    <w:rsid w:val="0007593F"/>
    <w:rsid w:val="00095EC9"/>
    <w:rsid w:val="00096A37"/>
    <w:rsid w:val="000A0810"/>
    <w:rsid w:val="000A6F8A"/>
    <w:rsid w:val="000B627F"/>
    <w:rsid w:val="000D649E"/>
    <w:rsid w:val="000D6D06"/>
    <w:rsid w:val="000E5C93"/>
    <w:rsid w:val="000F4A7F"/>
    <w:rsid w:val="001133AF"/>
    <w:rsid w:val="0011449F"/>
    <w:rsid w:val="00114848"/>
    <w:rsid w:val="00120934"/>
    <w:rsid w:val="00132070"/>
    <w:rsid w:val="00141875"/>
    <w:rsid w:val="0014347E"/>
    <w:rsid w:val="00154438"/>
    <w:rsid w:val="001551F6"/>
    <w:rsid w:val="0015535B"/>
    <w:rsid w:val="001556B2"/>
    <w:rsid w:val="00162036"/>
    <w:rsid w:val="001632DD"/>
    <w:rsid w:val="0017275D"/>
    <w:rsid w:val="00176E60"/>
    <w:rsid w:val="00194913"/>
    <w:rsid w:val="00194D9A"/>
    <w:rsid w:val="001A196B"/>
    <w:rsid w:val="001A6D05"/>
    <w:rsid w:val="001B38BF"/>
    <w:rsid w:val="001B772D"/>
    <w:rsid w:val="001D5B5D"/>
    <w:rsid w:val="001E6153"/>
    <w:rsid w:val="001E7459"/>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39C2"/>
    <w:rsid w:val="00395263"/>
    <w:rsid w:val="003956E0"/>
    <w:rsid w:val="0039609A"/>
    <w:rsid w:val="00397500"/>
    <w:rsid w:val="003B1CC5"/>
    <w:rsid w:val="003B65CE"/>
    <w:rsid w:val="003D2B76"/>
    <w:rsid w:val="003D6721"/>
    <w:rsid w:val="003E039E"/>
    <w:rsid w:val="0040230E"/>
    <w:rsid w:val="0041662F"/>
    <w:rsid w:val="0042126A"/>
    <w:rsid w:val="00422917"/>
    <w:rsid w:val="00440687"/>
    <w:rsid w:val="0044131D"/>
    <w:rsid w:val="00441ADA"/>
    <w:rsid w:val="00457E46"/>
    <w:rsid w:val="004922E4"/>
    <w:rsid w:val="00496AF8"/>
    <w:rsid w:val="004A575D"/>
    <w:rsid w:val="004B65C6"/>
    <w:rsid w:val="004D1DC7"/>
    <w:rsid w:val="004E7215"/>
    <w:rsid w:val="004F7D7E"/>
    <w:rsid w:val="00500B0C"/>
    <w:rsid w:val="00537150"/>
    <w:rsid w:val="00540984"/>
    <w:rsid w:val="00543851"/>
    <w:rsid w:val="0055559D"/>
    <w:rsid w:val="005569AE"/>
    <w:rsid w:val="005857F8"/>
    <w:rsid w:val="0058709D"/>
    <w:rsid w:val="005B0D18"/>
    <w:rsid w:val="005B12C3"/>
    <w:rsid w:val="005B409D"/>
    <w:rsid w:val="005C53C5"/>
    <w:rsid w:val="005D0FDB"/>
    <w:rsid w:val="005D25E9"/>
    <w:rsid w:val="005D6D59"/>
    <w:rsid w:val="0061327A"/>
    <w:rsid w:val="00615DDA"/>
    <w:rsid w:val="00617390"/>
    <w:rsid w:val="00623420"/>
    <w:rsid w:val="00634768"/>
    <w:rsid w:val="0063596F"/>
    <w:rsid w:val="00641426"/>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73F0"/>
    <w:rsid w:val="00765156"/>
    <w:rsid w:val="00767669"/>
    <w:rsid w:val="00773485"/>
    <w:rsid w:val="00775054"/>
    <w:rsid w:val="00776E8F"/>
    <w:rsid w:val="00776F6D"/>
    <w:rsid w:val="007B17EA"/>
    <w:rsid w:val="007C0297"/>
    <w:rsid w:val="007C1887"/>
    <w:rsid w:val="007D4775"/>
    <w:rsid w:val="007D5DC6"/>
    <w:rsid w:val="007D7E6A"/>
    <w:rsid w:val="007E37A5"/>
    <w:rsid w:val="007F49D8"/>
    <w:rsid w:val="00805940"/>
    <w:rsid w:val="0081599C"/>
    <w:rsid w:val="00837121"/>
    <w:rsid w:val="00837AEA"/>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E0859"/>
    <w:rsid w:val="008E67B4"/>
    <w:rsid w:val="008F1DC6"/>
    <w:rsid w:val="008F6F51"/>
    <w:rsid w:val="00905C5B"/>
    <w:rsid w:val="00921301"/>
    <w:rsid w:val="00923295"/>
    <w:rsid w:val="00925F11"/>
    <w:rsid w:val="00935265"/>
    <w:rsid w:val="0094689F"/>
    <w:rsid w:val="009477D6"/>
    <w:rsid w:val="00953ED3"/>
    <w:rsid w:val="009612F2"/>
    <w:rsid w:val="00965FF6"/>
    <w:rsid w:val="009664F5"/>
    <w:rsid w:val="009846D6"/>
    <w:rsid w:val="0098657F"/>
    <w:rsid w:val="009A3236"/>
    <w:rsid w:val="009B5A93"/>
    <w:rsid w:val="009B5BEA"/>
    <w:rsid w:val="009C291F"/>
    <w:rsid w:val="009E37BD"/>
    <w:rsid w:val="009E6B86"/>
    <w:rsid w:val="009E7EB3"/>
    <w:rsid w:val="009F2CFE"/>
    <w:rsid w:val="00A03301"/>
    <w:rsid w:val="00A12762"/>
    <w:rsid w:val="00A13867"/>
    <w:rsid w:val="00A26FED"/>
    <w:rsid w:val="00A35D62"/>
    <w:rsid w:val="00A421D4"/>
    <w:rsid w:val="00A44FF0"/>
    <w:rsid w:val="00A50E55"/>
    <w:rsid w:val="00A67EB1"/>
    <w:rsid w:val="00A9011D"/>
    <w:rsid w:val="00A91A47"/>
    <w:rsid w:val="00A95D2B"/>
    <w:rsid w:val="00AA5587"/>
    <w:rsid w:val="00AB4ECE"/>
    <w:rsid w:val="00AC1E53"/>
    <w:rsid w:val="00AD2330"/>
    <w:rsid w:val="00AD5C62"/>
    <w:rsid w:val="00AD79C8"/>
    <w:rsid w:val="00AE6CE0"/>
    <w:rsid w:val="00B058A6"/>
    <w:rsid w:val="00B117D0"/>
    <w:rsid w:val="00B13998"/>
    <w:rsid w:val="00B35C5F"/>
    <w:rsid w:val="00B408BA"/>
    <w:rsid w:val="00B439DD"/>
    <w:rsid w:val="00B52E0F"/>
    <w:rsid w:val="00B74629"/>
    <w:rsid w:val="00B91F58"/>
    <w:rsid w:val="00BA579E"/>
    <w:rsid w:val="00BB4661"/>
    <w:rsid w:val="00BE2295"/>
    <w:rsid w:val="00BE6373"/>
    <w:rsid w:val="00BF533A"/>
    <w:rsid w:val="00C41794"/>
    <w:rsid w:val="00C46677"/>
    <w:rsid w:val="00C5180E"/>
    <w:rsid w:val="00C54E40"/>
    <w:rsid w:val="00C55F56"/>
    <w:rsid w:val="00C57BA4"/>
    <w:rsid w:val="00C613EB"/>
    <w:rsid w:val="00C67671"/>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25170"/>
    <w:rsid w:val="00D3311C"/>
    <w:rsid w:val="00D53405"/>
    <w:rsid w:val="00D5457B"/>
    <w:rsid w:val="00D72995"/>
    <w:rsid w:val="00D73685"/>
    <w:rsid w:val="00DA7FA2"/>
    <w:rsid w:val="00DA7FA9"/>
    <w:rsid w:val="00DC2D8D"/>
    <w:rsid w:val="00DC7F67"/>
    <w:rsid w:val="00DE1F5D"/>
    <w:rsid w:val="00DE4B7E"/>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EF6834"/>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37DF"/>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284399">
      <w:bodyDiv w:val="1"/>
      <w:marLeft w:val="0"/>
      <w:marRight w:val="0"/>
      <w:marTop w:val="0"/>
      <w:marBottom w:val="0"/>
      <w:divBdr>
        <w:top w:val="none" w:sz="0" w:space="0" w:color="auto"/>
        <w:left w:val="none" w:sz="0" w:space="0" w:color="auto"/>
        <w:bottom w:val="none" w:sz="0" w:space="0" w:color="auto"/>
        <w:right w:val="none" w:sz="0" w:space="0" w:color="auto"/>
      </w:divBdr>
      <w:divsChild>
        <w:div w:id="537398615">
          <w:marLeft w:val="547"/>
          <w:marRight w:val="0"/>
          <w:marTop w:val="0"/>
          <w:marBottom w:val="0"/>
          <w:divBdr>
            <w:top w:val="none" w:sz="0" w:space="0" w:color="auto"/>
            <w:left w:val="none" w:sz="0" w:space="0" w:color="auto"/>
            <w:bottom w:val="none" w:sz="0" w:space="0" w:color="auto"/>
            <w:right w:val="none" w:sz="0" w:space="0" w:color="auto"/>
          </w:divBdr>
        </w:div>
      </w:divsChild>
    </w:div>
    <w:div w:id="2029404895">
      <w:bodyDiv w:val="1"/>
      <w:marLeft w:val="0"/>
      <w:marRight w:val="0"/>
      <w:marTop w:val="0"/>
      <w:marBottom w:val="0"/>
      <w:divBdr>
        <w:top w:val="none" w:sz="0" w:space="0" w:color="auto"/>
        <w:left w:val="none" w:sz="0" w:space="0" w:color="auto"/>
        <w:bottom w:val="none" w:sz="0" w:space="0" w:color="auto"/>
        <w:right w:val="none" w:sz="0" w:space="0" w:color="auto"/>
      </w:divBdr>
      <w:divsChild>
        <w:div w:id="193162242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diagramColors" Target="diagrams/colors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settings" Target="settings.xml"/><Relationship Id="rId12" Type="http://schemas.openxmlformats.org/officeDocument/2006/relationships/hyperlink" Target="http://www.gradeworkinggroup.org" TargetMode="External"/><Relationship Id="rId17" Type="http://schemas.openxmlformats.org/officeDocument/2006/relationships/diagramQuickStyle" Target="diagrams/quickStyle1.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diagramLayout" Target="diagrams/layout1.xml"/><Relationship Id="rId20" Type="http://schemas.openxmlformats.org/officeDocument/2006/relationships/hyperlink" Target="http://medicaidmentalhealth.org/_assets/file/Summaries/2014_Monitoring%20Physical%20Health%20and%20Side-Effects%20of%20Psychiatric%20Medicati....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diagramData" Target="diagrams/data1.xml"/><Relationship Id="rId23" Type="http://schemas.openxmlformats.org/officeDocument/2006/relationships/hyperlink" Target="https://www.macpac.gov/wp-content/uploads/2015/06/June-2015-Report-to-Congress-on-Medicaid-and-CHIP.pdf" TargetMode="External"/><Relationship Id="rId28" Type="http://schemas.openxmlformats.org/officeDocument/2006/relationships/theme" Target="theme/theme1.xml"/><Relationship Id="rId10" Type="http://schemas.openxmlformats.org/officeDocument/2006/relationships/endnotes" Target="endnotes.xml"/><Relationship Id="rId19" Type="http://schemas.microsoft.com/office/2007/relationships/diagramDrawing" Target="diagrams/drawing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qaalliance.org/files/PrinciplesofEfficiencyMeasurementApril2006.doc" TargetMode="External"/><Relationship Id="rId22" Type="http://schemas.openxmlformats.org/officeDocument/2006/relationships/image" Target="media/image2.png"/><Relationship Id="rId27" Type="http://schemas.openxmlformats.org/officeDocument/2006/relationships/glossaryDocument" Target="glossary/document.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0C7A90D-0EFC-43DD-8579-31CBCAAC9C88}" type="doc">
      <dgm:prSet loTypeId="urn:microsoft.com/office/officeart/2005/8/layout/process1" loCatId="process" qsTypeId="urn:microsoft.com/office/officeart/2005/8/quickstyle/simple1" qsCatId="simple" csTypeId="urn:microsoft.com/office/officeart/2005/8/colors/accent1_2" csCatId="accent1" phldr="1"/>
      <dgm:spPr/>
    </dgm:pt>
    <dgm:pt modelId="{D0E047A3-8E26-489C-938F-C8D0D5747889}">
      <dgm:prSet phldrT="[Text]"/>
      <dgm:spPr/>
      <dgm:t>
        <a:bodyPr/>
        <a:lstStyle/>
        <a:p>
          <a:r>
            <a:rPr lang="en-US"/>
            <a:t>Prescription of a new antipsychotic medication</a:t>
          </a:r>
        </a:p>
      </dgm:t>
    </dgm:pt>
    <dgm:pt modelId="{D6193AC5-C15D-4A0A-BD5A-01C029076673}" type="parTrans" cxnId="{6E79F5E7-9D24-4117-91BB-91DEC4F2E41D}">
      <dgm:prSet/>
      <dgm:spPr/>
      <dgm:t>
        <a:bodyPr/>
        <a:lstStyle/>
        <a:p>
          <a:endParaRPr lang="en-US"/>
        </a:p>
      </dgm:t>
    </dgm:pt>
    <dgm:pt modelId="{22BF3C1D-3133-43B1-898F-482D5E1684CA}" type="sibTrans" cxnId="{6E79F5E7-9D24-4117-91BB-91DEC4F2E41D}">
      <dgm:prSet/>
      <dgm:spPr/>
      <dgm:t>
        <a:bodyPr/>
        <a:lstStyle/>
        <a:p>
          <a:endParaRPr lang="en-US"/>
        </a:p>
      </dgm:t>
    </dgm:pt>
    <dgm:pt modelId="{637CB2A2-DD14-4291-8B2C-7C413104F820}">
      <dgm:prSet phldrT="[Text]"/>
      <dgm:spPr/>
      <dgm:t>
        <a:bodyPr/>
        <a:lstStyle/>
        <a:p>
          <a:r>
            <a:rPr lang="en-US"/>
            <a:t>Completion of a follow-up visit to monitor treatment effectiveness</a:t>
          </a:r>
        </a:p>
      </dgm:t>
    </dgm:pt>
    <dgm:pt modelId="{7429E8F7-45F8-4708-994B-2A1A8FD3901F}" type="parTrans" cxnId="{B6AEF216-D658-4876-9C38-428B83EAA877}">
      <dgm:prSet/>
      <dgm:spPr/>
      <dgm:t>
        <a:bodyPr/>
        <a:lstStyle/>
        <a:p>
          <a:endParaRPr lang="en-US"/>
        </a:p>
      </dgm:t>
    </dgm:pt>
    <dgm:pt modelId="{ADF0928E-B60B-4432-8E92-D355A339C488}" type="sibTrans" cxnId="{B6AEF216-D658-4876-9C38-428B83EAA877}">
      <dgm:prSet/>
      <dgm:spPr/>
      <dgm:t>
        <a:bodyPr/>
        <a:lstStyle/>
        <a:p>
          <a:endParaRPr lang="en-US"/>
        </a:p>
      </dgm:t>
    </dgm:pt>
    <dgm:pt modelId="{D067F618-E843-4574-91AC-6EB1E8010B22}">
      <dgm:prSet phldrT="[Text]"/>
      <dgm:spPr/>
      <dgm:t>
        <a:bodyPr/>
        <a:lstStyle/>
        <a:p>
          <a:r>
            <a:rPr lang="en-US"/>
            <a:t>Side effects evaluated; treatment effectiveness evaluated; dosage modified as appropriate; barriers to medication adherence addressed</a:t>
          </a:r>
        </a:p>
      </dgm:t>
    </dgm:pt>
    <dgm:pt modelId="{632A9377-BE4D-4399-9F64-EF1C98298143}" type="parTrans" cxnId="{2F3ADF2A-2BB1-4B96-8189-3B1D7FD6B7D4}">
      <dgm:prSet/>
      <dgm:spPr/>
      <dgm:t>
        <a:bodyPr/>
        <a:lstStyle/>
        <a:p>
          <a:endParaRPr lang="en-US"/>
        </a:p>
      </dgm:t>
    </dgm:pt>
    <dgm:pt modelId="{52ABF9A4-EA03-45DB-9AC6-8052A4FD2307}" type="sibTrans" cxnId="{2F3ADF2A-2BB1-4B96-8189-3B1D7FD6B7D4}">
      <dgm:prSet/>
      <dgm:spPr/>
      <dgm:t>
        <a:bodyPr/>
        <a:lstStyle/>
        <a:p>
          <a:endParaRPr lang="en-US"/>
        </a:p>
      </dgm:t>
    </dgm:pt>
    <dgm:pt modelId="{9B7A844E-2B82-4364-9B67-8C2D8BA3627A}">
      <dgm:prSet/>
      <dgm:spPr/>
      <dgm:t>
        <a:bodyPr/>
        <a:lstStyle/>
        <a:p>
          <a:r>
            <a:rPr lang="en-US"/>
            <a:t>Reduced medication side effects; improved effectiveness of treatment; improved medication adherence</a:t>
          </a:r>
        </a:p>
      </dgm:t>
    </dgm:pt>
    <dgm:pt modelId="{4BDC9A78-5E0C-43AF-9036-1F90062726FA}" type="parTrans" cxnId="{30BA29F8-D5DA-4840-A3F3-C0A0FD3D9559}">
      <dgm:prSet/>
      <dgm:spPr/>
      <dgm:t>
        <a:bodyPr/>
        <a:lstStyle/>
        <a:p>
          <a:endParaRPr lang="en-US"/>
        </a:p>
      </dgm:t>
    </dgm:pt>
    <dgm:pt modelId="{F84F3174-E974-4AEB-9A4A-574E3F90D6A6}" type="sibTrans" cxnId="{30BA29F8-D5DA-4840-A3F3-C0A0FD3D9559}">
      <dgm:prSet/>
      <dgm:spPr/>
      <dgm:t>
        <a:bodyPr/>
        <a:lstStyle/>
        <a:p>
          <a:endParaRPr lang="en-US"/>
        </a:p>
      </dgm:t>
    </dgm:pt>
    <dgm:pt modelId="{3F40FFE6-A95D-4A12-9E61-6C104D6A3051}" type="pres">
      <dgm:prSet presAssocID="{E0C7A90D-0EFC-43DD-8579-31CBCAAC9C88}" presName="Name0" presStyleCnt="0">
        <dgm:presLayoutVars>
          <dgm:dir/>
          <dgm:resizeHandles val="exact"/>
        </dgm:presLayoutVars>
      </dgm:prSet>
      <dgm:spPr/>
    </dgm:pt>
    <dgm:pt modelId="{AF1ECCA0-4CC6-4489-96A1-F18076CE6B9E}" type="pres">
      <dgm:prSet presAssocID="{D0E047A3-8E26-489C-938F-C8D0D5747889}" presName="node" presStyleLbl="node1" presStyleIdx="0" presStyleCnt="4">
        <dgm:presLayoutVars>
          <dgm:bulletEnabled val="1"/>
        </dgm:presLayoutVars>
      </dgm:prSet>
      <dgm:spPr/>
      <dgm:t>
        <a:bodyPr/>
        <a:lstStyle/>
        <a:p>
          <a:endParaRPr lang="en-US"/>
        </a:p>
      </dgm:t>
    </dgm:pt>
    <dgm:pt modelId="{AD7EDF43-85BF-4011-953E-89DCA152518E}" type="pres">
      <dgm:prSet presAssocID="{22BF3C1D-3133-43B1-898F-482D5E1684CA}" presName="sibTrans" presStyleLbl="sibTrans2D1" presStyleIdx="0" presStyleCnt="3"/>
      <dgm:spPr/>
      <dgm:t>
        <a:bodyPr/>
        <a:lstStyle/>
        <a:p>
          <a:endParaRPr lang="en-US"/>
        </a:p>
      </dgm:t>
    </dgm:pt>
    <dgm:pt modelId="{9BE68EE7-2CFE-43A8-BF3D-D5518A3E68A5}" type="pres">
      <dgm:prSet presAssocID="{22BF3C1D-3133-43B1-898F-482D5E1684CA}" presName="connectorText" presStyleLbl="sibTrans2D1" presStyleIdx="0" presStyleCnt="3"/>
      <dgm:spPr/>
      <dgm:t>
        <a:bodyPr/>
        <a:lstStyle/>
        <a:p>
          <a:endParaRPr lang="en-US"/>
        </a:p>
      </dgm:t>
    </dgm:pt>
    <dgm:pt modelId="{8B87072B-CDA2-4739-99B4-6F8F21ECAB02}" type="pres">
      <dgm:prSet presAssocID="{637CB2A2-DD14-4291-8B2C-7C413104F820}" presName="node" presStyleLbl="node1" presStyleIdx="1" presStyleCnt="4">
        <dgm:presLayoutVars>
          <dgm:bulletEnabled val="1"/>
        </dgm:presLayoutVars>
      </dgm:prSet>
      <dgm:spPr/>
      <dgm:t>
        <a:bodyPr/>
        <a:lstStyle/>
        <a:p>
          <a:endParaRPr lang="en-US"/>
        </a:p>
      </dgm:t>
    </dgm:pt>
    <dgm:pt modelId="{4C9142CC-5803-4DBA-9DF6-03EC24D0815F}" type="pres">
      <dgm:prSet presAssocID="{ADF0928E-B60B-4432-8E92-D355A339C488}" presName="sibTrans" presStyleLbl="sibTrans2D1" presStyleIdx="1" presStyleCnt="3"/>
      <dgm:spPr/>
      <dgm:t>
        <a:bodyPr/>
        <a:lstStyle/>
        <a:p>
          <a:endParaRPr lang="en-US"/>
        </a:p>
      </dgm:t>
    </dgm:pt>
    <dgm:pt modelId="{80E22621-67C8-425D-8924-E2A061227A5C}" type="pres">
      <dgm:prSet presAssocID="{ADF0928E-B60B-4432-8E92-D355A339C488}" presName="connectorText" presStyleLbl="sibTrans2D1" presStyleIdx="1" presStyleCnt="3"/>
      <dgm:spPr/>
      <dgm:t>
        <a:bodyPr/>
        <a:lstStyle/>
        <a:p>
          <a:endParaRPr lang="en-US"/>
        </a:p>
      </dgm:t>
    </dgm:pt>
    <dgm:pt modelId="{0FFFFD2F-68F0-4D1C-8EC4-98A99795282D}" type="pres">
      <dgm:prSet presAssocID="{D067F618-E843-4574-91AC-6EB1E8010B22}" presName="node" presStyleLbl="node1" presStyleIdx="2" presStyleCnt="4">
        <dgm:presLayoutVars>
          <dgm:bulletEnabled val="1"/>
        </dgm:presLayoutVars>
      </dgm:prSet>
      <dgm:spPr/>
      <dgm:t>
        <a:bodyPr/>
        <a:lstStyle/>
        <a:p>
          <a:endParaRPr lang="en-US"/>
        </a:p>
      </dgm:t>
    </dgm:pt>
    <dgm:pt modelId="{AB7A4EBD-F57F-4ACA-B9D6-5514B9233B51}" type="pres">
      <dgm:prSet presAssocID="{52ABF9A4-EA03-45DB-9AC6-8052A4FD2307}" presName="sibTrans" presStyleLbl="sibTrans2D1" presStyleIdx="2" presStyleCnt="3"/>
      <dgm:spPr/>
      <dgm:t>
        <a:bodyPr/>
        <a:lstStyle/>
        <a:p>
          <a:endParaRPr lang="en-US"/>
        </a:p>
      </dgm:t>
    </dgm:pt>
    <dgm:pt modelId="{D1A10280-63E7-45C0-830D-24B45CDBE586}" type="pres">
      <dgm:prSet presAssocID="{52ABF9A4-EA03-45DB-9AC6-8052A4FD2307}" presName="connectorText" presStyleLbl="sibTrans2D1" presStyleIdx="2" presStyleCnt="3"/>
      <dgm:spPr/>
      <dgm:t>
        <a:bodyPr/>
        <a:lstStyle/>
        <a:p>
          <a:endParaRPr lang="en-US"/>
        </a:p>
      </dgm:t>
    </dgm:pt>
    <dgm:pt modelId="{CEF28178-354A-4F9D-AC47-13A140EFFDDF}" type="pres">
      <dgm:prSet presAssocID="{9B7A844E-2B82-4364-9B67-8C2D8BA3627A}" presName="node" presStyleLbl="node1" presStyleIdx="3" presStyleCnt="4">
        <dgm:presLayoutVars>
          <dgm:bulletEnabled val="1"/>
        </dgm:presLayoutVars>
      </dgm:prSet>
      <dgm:spPr/>
      <dgm:t>
        <a:bodyPr/>
        <a:lstStyle/>
        <a:p>
          <a:endParaRPr lang="en-US"/>
        </a:p>
      </dgm:t>
    </dgm:pt>
  </dgm:ptLst>
  <dgm:cxnLst>
    <dgm:cxn modelId="{20B5E6D4-0ED7-4E71-B3D0-73C3DEEABAEA}" type="presOf" srcId="{D0E047A3-8E26-489C-938F-C8D0D5747889}" destId="{AF1ECCA0-4CC6-4489-96A1-F18076CE6B9E}" srcOrd="0" destOrd="0" presId="urn:microsoft.com/office/officeart/2005/8/layout/process1"/>
    <dgm:cxn modelId="{9A6BD21A-D8F8-4421-8777-2C8C00265E94}" type="presOf" srcId="{22BF3C1D-3133-43B1-898F-482D5E1684CA}" destId="{AD7EDF43-85BF-4011-953E-89DCA152518E}" srcOrd="0" destOrd="0" presId="urn:microsoft.com/office/officeart/2005/8/layout/process1"/>
    <dgm:cxn modelId="{30BA29F8-D5DA-4840-A3F3-C0A0FD3D9559}" srcId="{E0C7A90D-0EFC-43DD-8579-31CBCAAC9C88}" destId="{9B7A844E-2B82-4364-9B67-8C2D8BA3627A}" srcOrd="3" destOrd="0" parTransId="{4BDC9A78-5E0C-43AF-9036-1F90062726FA}" sibTransId="{F84F3174-E974-4AEB-9A4A-574E3F90D6A6}"/>
    <dgm:cxn modelId="{2F3ADF2A-2BB1-4B96-8189-3B1D7FD6B7D4}" srcId="{E0C7A90D-0EFC-43DD-8579-31CBCAAC9C88}" destId="{D067F618-E843-4574-91AC-6EB1E8010B22}" srcOrd="2" destOrd="0" parTransId="{632A9377-BE4D-4399-9F64-EF1C98298143}" sibTransId="{52ABF9A4-EA03-45DB-9AC6-8052A4FD2307}"/>
    <dgm:cxn modelId="{9AB1C03D-410C-41F4-8B0D-A9E312647294}" type="presOf" srcId="{9B7A844E-2B82-4364-9B67-8C2D8BA3627A}" destId="{CEF28178-354A-4F9D-AC47-13A140EFFDDF}" srcOrd="0" destOrd="0" presId="urn:microsoft.com/office/officeart/2005/8/layout/process1"/>
    <dgm:cxn modelId="{B6AEF216-D658-4876-9C38-428B83EAA877}" srcId="{E0C7A90D-0EFC-43DD-8579-31CBCAAC9C88}" destId="{637CB2A2-DD14-4291-8B2C-7C413104F820}" srcOrd="1" destOrd="0" parTransId="{7429E8F7-45F8-4708-994B-2A1A8FD3901F}" sibTransId="{ADF0928E-B60B-4432-8E92-D355A339C488}"/>
    <dgm:cxn modelId="{70EFAF67-8695-439A-93C6-357825C5E26F}" type="presOf" srcId="{52ABF9A4-EA03-45DB-9AC6-8052A4FD2307}" destId="{AB7A4EBD-F57F-4ACA-B9D6-5514B9233B51}" srcOrd="0" destOrd="0" presId="urn:microsoft.com/office/officeart/2005/8/layout/process1"/>
    <dgm:cxn modelId="{5BE8AF88-AAE7-4F68-817C-3B97EC1341A7}" type="presOf" srcId="{E0C7A90D-0EFC-43DD-8579-31CBCAAC9C88}" destId="{3F40FFE6-A95D-4A12-9E61-6C104D6A3051}" srcOrd="0" destOrd="0" presId="urn:microsoft.com/office/officeart/2005/8/layout/process1"/>
    <dgm:cxn modelId="{06307956-A141-4BA3-AFFA-44CBBEEEE6C2}" type="presOf" srcId="{ADF0928E-B60B-4432-8E92-D355A339C488}" destId="{80E22621-67C8-425D-8924-E2A061227A5C}" srcOrd="1" destOrd="0" presId="urn:microsoft.com/office/officeart/2005/8/layout/process1"/>
    <dgm:cxn modelId="{C1B12276-8A0B-4B38-A6EC-96929DB62432}" type="presOf" srcId="{22BF3C1D-3133-43B1-898F-482D5E1684CA}" destId="{9BE68EE7-2CFE-43A8-BF3D-D5518A3E68A5}" srcOrd="1" destOrd="0" presId="urn:microsoft.com/office/officeart/2005/8/layout/process1"/>
    <dgm:cxn modelId="{6E79F5E7-9D24-4117-91BB-91DEC4F2E41D}" srcId="{E0C7A90D-0EFC-43DD-8579-31CBCAAC9C88}" destId="{D0E047A3-8E26-489C-938F-C8D0D5747889}" srcOrd="0" destOrd="0" parTransId="{D6193AC5-C15D-4A0A-BD5A-01C029076673}" sibTransId="{22BF3C1D-3133-43B1-898F-482D5E1684CA}"/>
    <dgm:cxn modelId="{1905DF3C-CFA2-421C-B4AC-E2DD02B76629}" type="presOf" srcId="{52ABF9A4-EA03-45DB-9AC6-8052A4FD2307}" destId="{D1A10280-63E7-45C0-830D-24B45CDBE586}" srcOrd="1" destOrd="0" presId="urn:microsoft.com/office/officeart/2005/8/layout/process1"/>
    <dgm:cxn modelId="{81167994-A158-452A-AAB3-8B3BCCCE7DFA}" type="presOf" srcId="{637CB2A2-DD14-4291-8B2C-7C413104F820}" destId="{8B87072B-CDA2-4739-99B4-6F8F21ECAB02}" srcOrd="0" destOrd="0" presId="urn:microsoft.com/office/officeart/2005/8/layout/process1"/>
    <dgm:cxn modelId="{6ED1BBC5-77F9-4BC5-B435-81007D261DFF}" type="presOf" srcId="{ADF0928E-B60B-4432-8E92-D355A339C488}" destId="{4C9142CC-5803-4DBA-9DF6-03EC24D0815F}" srcOrd="0" destOrd="0" presId="urn:microsoft.com/office/officeart/2005/8/layout/process1"/>
    <dgm:cxn modelId="{1AC1A0E0-0FD0-4CD6-84D1-6076349AB651}" type="presOf" srcId="{D067F618-E843-4574-91AC-6EB1E8010B22}" destId="{0FFFFD2F-68F0-4D1C-8EC4-98A99795282D}" srcOrd="0" destOrd="0" presId="urn:microsoft.com/office/officeart/2005/8/layout/process1"/>
    <dgm:cxn modelId="{E03A081F-44A0-492B-BE7A-2B30C0A01BD1}" type="presParOf" srcId="{3F40FFE6-A95D-4A12-9E61-6C104D6A3051}" destId="{AF1ECCA0-4CC6-4489-96A1-F18076CE6B9E}" srcOrd="0" destOrd="0" presId="urn:microsoft.com/office/officeart/2005/8/layout/process1"/>
    <dgm:cxn modelId="{95C03E8A-E8DD-4C9A-B62F-8AE2DBE0E96D}" type="presParOf" srcId="{3F40FFE6-A95D-4A12-9E61-6C104D6A3051}" destId="{AD7EDF43-85BF-4011-953E-89DCA152518E}" srcOrd="1" destOrd="0" presId="urn:microsoft.com/office/officeart/2005/8/layout/process1"/>
    <dgm:cxn modelId="{C9079176-BC21-4723-817E-82B6710C4CA2}" type="presParOf" srcId="{AD7EDF43-85BF-4011-953E-89DCA152518E}" destId="{9BE68EE7-2CFE-43A8-BF3D-D5518A3E68A5}" srcOrd="0" destOrd="0" presId="urn:microsoft.com/office/officeart/2005/8/layout/process1"/>
    <dgm:cxn modelId="{92F615D3-A1F8-4FFC-AEEA-791B42290D0C}" type="presParOf" srcId="{3F40FFE6-A95D-4A12-9E61-6C104D6A3051}" destId="{8B87072B-CDA2-4739-99B4-6F8F21ECAB02}" srcOrd="2" destOrd="0" presId="urn:microsoft.com/office/officeart/2005/8/layout/process1"/>
    <dgm:cxn modelId="{C9EFDF6C-3CB7-4147-A58C-DF70F45C0DED}" type="presParOf" srcId="{3F40FFE6-A95D-4A12-9E61-6C104D6A3051}" destId="{4C9142CC-5803-4DBA-9DF6-03EC24D0815F}" srcOrd="3" destOrd="0" presId="urn:microsoft.com/office/officeart/2005/8/layout/process1"/>
    <dgm:cxn modelId="{7AB3902F-F715-4FF2-8342-063F28ACFE81}" type="presParOf" srcId="{4C9142CC-5803-4DBA-9DF6-03EC24D0815F}" destId="{80E22621-67C8-425D-8924-E2A061227A5C}" srcOrd="0" destOrd="0" presId="urn:microsoft.com/office/officeart/2005/8/layout/process1"/>
    <dgm:cxn modelId="{0354C1D3-97A5-4016-96F2-6702B0A42CC0}" type="presParOf" srcId="{3F40FFE6-A95D-4A12-9E61-6C104D6A3051}" destId="{0FFFFD2F-68F0-4D1C-8EC4-98A99795282D}" srcOrd="4" destOrd="0" presId="urn:microsoft.com/office/officeart/2005/8/layout/process1"/>
    <dgm:cxn modelId="{8B1A5D4B-34CB-4C00-910D-D0EE77812C7E}" type="presParOf" srcId="{3F40FFE6-A95D-4A12-9E61-6C104D6A3051}" destId="{AB7A4EBD-F57F-4ACA-B9D6-5514B9233B51}" srcOrd="5" destOrd="0" presId="urn:microsoft.com/office/officeart/2005/8/layout/process1"/>
    <dgm:cxn modelId="{9369DD33-F2A8-4DDC-B9D2-E1E4BA9FB7E8}" type="presParOf" srcId="{AB7A4EBD-F57F-4ACA-B9D6-5514B9233B51}" destId="{D1A10280-63E7-45C0-830D-24B45CDBE586}" srcOrd="0" destOrd="0" presId="urn:microsoft.com/office/officeart/2005/8/layout/process1"/>
    <dgm:cxn modelId="{6AB9ADB1-909D-4C15-A3AB-66DCF8DB8ABF}" type="presParOf" srcId="{3F40FFE6-A95D-4A12-9E61-6C104D6A3051}" destId="{CEF28178-354A-4F9D-AC47-13A140EFFDDF}" srcOrd="6" destOrd="0" presId="urn:microsoft.com/office/officeart/2005/8/layout/process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F1ECCA0-4CC6-4489-96A1-F18076CE6B9E}">
      <dsp:nvSpPr>
        <dsp:cNvPr id="0" name=""/>
        <dsp:cNvSpPr/>
      </dsp:nvSpPr>
      <dsp:spPr>
        <a:xfrm>
          <a:off x="2611" y="821992"/>
          <a:ext cx="1141995" cy="168087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Prescription of a new antipsychotic medication</a:t>
          </a:r>
        </a:p>
      </dsp:txBody>
      <dsp:txXfrm>
        <a:off x="36059" y="855440"/>
        <a:ext cx="1075099" cy="1613978"/>
      </dsp:txXfrm>
    </dsp:sp>
    <dsp:sp modelId="{AD7EDF43-85BF-4011-953E-89DCA152518E}">
      <dsp:nvSpPr>
        <dsp:cNvPr id="0" name=""/>
        <dsp:cNvSpPr/>
      </dsp:nvSpPr>
      <dsp:spPr>
        <a:xfrm>
          <a:off x="1258806" y="1520822"/>
          <a:ext cx="242103" cy="28321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US" sz="800" kern="1200"/>
        </a:p>
      </dsp:txBody>
      <dsp:txXfrm>
        <a:off x="1258806" y="1577465"/>
        <a:ext cx="169472" cy="169928"/>
      </dsp:txXfrm>
    </dsp:sp>
    <dsp:sp modelId="{8B87072B-CDA2-4739-99B4-6F8F21ECAB02}">
      <dsp:nvSpPr>
        <dsp:cNvPr id="0" name=""/>
        <dsp:cNvSpPr/>
      </dsp:nvSpPr>
      <dsp:spPr>
        <a:xfrm>
          <a:off x="1601405" y="821992"/>
          <a:ext cx="1141995" cy="168087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Completion of a follow-up visit to monitor treatment effectiveness</a:t>
          </a:r>
        </a:p>
      </dsp:txBody>
      <dsp:txXfrm>
        <a:off x="1634853" y="855440"/>
        <a:ext cx="1075099" cy="1613978"/>
      </dsp:txXfrm>
    </dsp:sp>
    <dsp:sp modelId="{4C9142CC-5803-4DBA-9DF6-03EC24D0815F}">
      <dsp:nvSpPr>
        <dsp:cNvPr id="0" name=""/>
        <dsp:cNvSpPr/>
      </dsp:nvSpPr>
      <dsp:spPr>
        <a:xfrm>
          <a:off x="2857600" y="1520822"/>
          <a:ext cx="242103" cy="28321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US" sz="800" kern="1200"/>
        </a:p>
      </dsp:txBody>
      <dsp:txXfrm>
        <a:off x="2857600" y="1577465"/>
        <a:ext cx="169472" cy="169928"/>
      </dsp:txXfrm>
    </dsp:sp>
    <dsp:sp modelId="{0FFFFD2F-68F0-4D1C-8EC4-98A99795282D}">
      <dsp:nvSpPr>
        <dsp:cNvPr id="0" name=""/>
        <dsp:cNvSpPr/>
      </dsp:nvSpPr>
      <dsp:spPr>
        <a:xfrm>
          <a:off x="3200199" y="821992"/>
          <a:ext cx="1141995" cy="168087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Side effects evaluated; treatment effectiveness evaluated; dosage modified as appropriate; barriers to medication adherence addressed</a:t>
          </a:r>
        </a:p>
      </dsp:txBody>
      <dsp:txXfrm>
        <a:off x="3233647" y="855440"/>
        <a:ext cx="1075099" cy="1613978"/>
      </dsp:txXfrm>
    </dsp:sp>
    <dsp:sp modelId="{AB7A4EBD-F57F-4ACA-B9D6-5514B9233B51}">
      <dsp:nvSpPr>
        <dsp:cNvPr id="0" name=""/>
        <dsp:cNvSpPr/>
      </dsp:nvSpPr>
      <dsp:spPr>
        <a:xfrm>
          <a:off x="4456394" y="1520822"/>
          <a:ext cx="242103" cy="28321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US" sz="800" kern="1200"/>
        </a:p>
      </dsp:txBody>
      <dsp:txXfrm>
        <a:off x="4456394" y="1577465"/>
        <a:ext cx="169472" cy="169928"/>
      </dsp:txXfrm>
    </dsp:sp>
    <dsp:sp modelId="{CEF28178-354A-4F9D-AC47-13A140EFFDDF}">
      <dsp:nvSpPr>
        <dsp:cNvPr id="0" name=""/>
        <dsp:cNvSpPr/>
      </dsp:nvSpPr>
      <dsp:spPr>
        <a:xfrm>
          <a:off x="4798992" y="821992"/>
          <a:ext cx="1141995" cy="168087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Reduced medication side effects; improved effectiveness of treatment; improved medication adherence</a:t>
          </a:r>
        </a:p>
      </dsp:txBody>
      <dsp:txXfrm>
        <a:off x="4832440" y="855440"/>
        <a:ext cx="1075099" cy="1613978"/>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A1E4B"/>
    <w:rsid w:val="00455EB5"/>
    <w:rsid w:val="00461C1C"/>
    <w:rsid w:val="004E2027"/>
    <w:rsid w:val="005208C9"/>
    <w:rsid w:val="00564A59"/>
    <w:rsid w:val="005F21F3"/>
    <w:rsid w:val="008F6A9B"/>
    <w:rsid w:val="00941AFC"/>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1B62E27D8A34E9B13D803C6E024FD" ma:contentTypeVersion="6" ma:contentTypeDescription="Create a new document." ma:contentTypeScope="" ma:versionID="ec90dc4ab313003c24987378062ffe91">
  <xsd:schema xmlns:xsd="http://www.w3.org/2001/XMLSchema" xmlns:xs="http://www.w3.org/2001/XMLSchema" xmlns:p="http://schemas.microsoft.com/office/2006/metadata/properties" targetNamespace="http://schemas.microsoft.com/office/2006/metadata/properties" ma:root="true" ma:fieldsID="89ffe9a0bec8353818ca82de19c6773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403FE-65B3-4CA1-B144-72E4D4710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46AD35-1BE7-428A-8E90-8225D8FAB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5345</Words>
  <Characters>30468</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Kirsten Reed</cp:lastModifiedBy>
  <cp:revision>2</cp:revision>
  <dcterms:created xsi:type="dcterms:W3CDTF">2017-11-14T15:27:00Z</dcterms:created>
  <dcterms:modified xsi:type="dcterms:W3CDTF">2017-11-14T15:27:00Z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0x0101005A91B62E27D8A34E9B13D803C6E024FD</vt:lpwstr>
  </property>
  <property fmtid="{D5CDD505-2E9C-101B-9397-08002B2CF9AE}" pid="3" name="_NewReviewCycle">
    <vt:lpwstr/>
  </property>
</Properties>
</file>